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8F7" w14:textId="1BC6CF4D" w:rsidR="00D112AF" w:rsidRPr="00D112AF" w:rsidRDefault="00D112AF" w:rsidP="00E27627">
      <w:pPr>
        <w:pStyle w:val="Default"/>
        <w:jc w:val="both"/>
        <w:rPr>
          <w:sz w:val="22"/>
          <w:szCs w:val="22"/>
        </w:rPr>
      </w:pPr>
      <w:r w:rsidRPr="00D112AF">
        <w:rPr>
          <w:i/>
          <w:iCs/>
          <w:sz w:val="22"/>
          <w:szCs w:val="22"/>
        </w:rP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14:paraId="0797B9BA" w14:textId="77777777" w:rsidR="00E27627" w:rsidRPr="00E27627" w:rsidRDefault="00D112AF" w:rsidP="00E27627">
      <w:pPr>
        <w:pStyle w:val="Default"/>
        <w:jc w:val="center"/>
        <w:rPr>
          <w:rFonts w:eastAsia="新細明體"/>
          <w:b/>
          <w:sz w:val="32"/>
          <w:szCs w:val="32"/>
        </w:rPr>
      </w:pPr>
      <w:r w:rsidRPr="00E27627">
        <w:rPr>
          <w:rFonts w:eastAsia="新細明體"/>
          <w:b/>
          <w:sz w:val="32"/>
          <w:szCs w:val="32"/>
        </w:rPr>
        <w:t>TONG KEE (HOLDING) LIMITED</w:t>
      </w:r>
    </w:p>
    <w:p w14:paraId="348EDA15" w14:textId="177A787A" w:rsidR="00D112AF" w:rsidRPr="00E27627" w:rsidRDefault="00D112AF" w:rsidP="00E27627">
      <w:pPr>
        <w:pStyle w:val="Default"/>
        <w:jc w:val="center"/>
        <w:rPr>
          <w:rFonts w:eastAsia="新細明體"/>
          <w:sz w:val="32"/>
          <w:szCs w:val="32"/>
        </w:rPr>
      </w:pPr>
      <w:proofErr w:type="gramStart"/>
      <w:r w:rsidRPr="00E27627">
        <w:rPr>
          <w:rFonts w:eastAsia="新細明體"/>
          <w:b/>
          <w:sz w:val="32"/>
          <w:szCs w:val="32"/>
        </w:rPr>
        <w:t>棠</w:t>
      </w:r>
      <w:proofErr w:type="gramEnd"/>
      <w:r w:rsidRPr="00E27627">
        <w:rPr>
          <w:rFonts w:eastAsia="新細明體"/>
          <w:b/>
          <w:sz w:val="32"/>
          <w:szCs w:val="32"/>
        </w:rPr>
        <w:t>記（控股）有限公司</w:t>
      </w:r>
    </w:p>
    <w:p w14:paraId="2D62C29E" w14:textId="14EB15E8" w:rsidR="00D112AF" w:rsidRPr="00E27627" w:rsidRDefault="00C75FEB" w:rsidP="00E27627">
      <w:pPr>
        <w:pStyle w:val="Default"/>
        <w:jc w:val="center"/>
        <w:rPr>
          <w:rFonts w:eastAsia="新細明體"/>
          <w:sz w:val="23"/>
          <w:szCs w:val="23"/>
        </w:rPr>
      </w:pPr>
      <w:r w:rsidRPr="00E27627" w:rsidDel="00C75FEB">
        <w:rPr>
          <w:rFonts w:eastAsia="新細明體"/>
          <w:sz w:val="23"/>
          <w:szCs w:val="23"/>
        </w:rPr>
        <w:t xml:space="preserve"> </w:t>
      </w:r>
      <w:r w:rsidR="00D112AF" w:rsidRPr="00E27627">
        <w:rPr>
          <w:rFonts w:eastAsia="新細明體"/>
          <w:sz w:val="23"/>
          <w:szCs w:val="23"/>
        </w:rPr>
        <w:t>(</w:t>
      </w:r>
      <w:r w:rsidR="00D112AF" w:rsidRPr="00AC491A">
        <w:rPr>
          <w:rFonts w:eastAsia="新細明體"/>
          <w:i/>
          <w:sz w:val="23"/>
          <w:szCs w:val="23"/>
        </w:rPr>
        <w:t>Incorporated in the Cayman Islands with limited liability</w:t>
      </w:r>
      <w:r w:rsidR="00D112AF" w:rsidRPr="00E27627">
        <w:rPr>
          <w:rFonts w:eastAsia="新細明體"/>
          <w:sz w:val="23"/>
          <w:szCs w:val="23"/>
        </w:rPr>
        <w:t>)</w:t>
      </w:r>
    </w:p>
    <w:p w14:paraId="3B7E7E8A" w14:textId="7EC95649" w:rsidR="00D112AF" w:rsidRPr="00762598" w:rsidRDefault="00D112AF" w:rsidP="00E27627">
      <w:pPr>
        <w:pStyle w:val="Default"/>
        <w:jc w:val="center"/>
        <w:rPr>
          <w:rFonts w:eastAsia="新細明體"/>
          <w:b/>
          <w:bCs/>
          <w:sz w:val="23"/>
          <w:szCs w:val="23"/>
        </w:rPr>
      </w:pPr>
      <w:r w:rsidRPr="00762598">
        <w:rPr>
          <w:rFonts w:eastAsia="新細明體"/>
          <w:b/>
          <w:bCs/>
          <w:sz w:val="23"/>
          <w:szCs w:val="23"/>
        </w:rPr>
        <w:t>(Stock Code: 8305)</w:t>
      </w:r>
    </w:p>
    <w:p w14:paraId="0D002CC7" w14:textId="77777777" w:rsidR="00D112AF" w:rsidRPr="00D112AF" w:rsidRDefault="00D112AF" w:rsidP="00D112AF">
      <w:pPr>
        <w:pStyle w:val="Default"/>
      </w:pPr>
    </w:p>
    <w:p w14:paraId="1A081E71" w14:textId="54A06E12" w:rsidR="00D112AF" w:rsidRDefault="00751F7F" w:rsidP="00CB3952">
      <w:pPr>
        <w:pStyle w:val="Default"/>
        <w:jc w:val="center"/>
        <w:rPr>
          <w:rFonts w:eastAsia="新細明體"/>
          <w:b/>
          <w:bCs/>
          <w:sz w:val="28"/>
          <w:szCs w:val="28"/>
        </w:rPr>
      </w:pPr>
      <w:r>
        <w:rPr>
          <w:rFonts w:eastAsia="新細明體"/>
          <w:b/>
          <w:bCs/>
          <w:sz w:val="28"/>
          <w:szCs w:val="28"/>
        </w:rPr>
        <w:t>CHANGE OF AUDITORS</w:t>
      </w:r>
    </w:p>
    <w:p w14:paraId="12FF4033" w14:textId="77777777" w:rsidR="00C75FEB" w:rsidRPr="00D112AF" w:rsidRDefault="00C75FEB" w:rsidP="00CB3952">
      <w:pPr>
        <w:pStyle w:val="Default"/>
        <w:jc w:val="center"/>
        <w:rPr>
          <w:rFonts w:eastAsia="新細明體"/>
          <w:sz w:val="28"/>
          <w:szCs w:val="28"/>
        </w:rPr>
      </w:pPr>
    </w:p>
    <w:tbl>
      <w:tblPr>
        <w:tblW w:w="8498" w:type="dxa"/>
        <w:tblInd w:w="-108" w:type="dxa"/>
        <w:tblBorders>
          <w:top w:val="nil"/>
          <w:left w:val="nil"/>
          <w:bottom w:val="nil"/>
          <w:right w:val="nil"/>
        </w:tblBorders>
        <w:tblLayout w:type="fixed"/>
        <w:tblLook w:val="0000" w:firstRow="0" w:lastRow="0" w:firstColumn="0" w:lastColumn="0" w:noHBand="0" w:noVBand="0"/>
      </w:tblPr>
      <w:tblGrid>
        <w:gridCol w:w="8498"/>
      </w:tblGrid>
      <w:tr w:rsidR="00D112AF" w:rsidRPr="00D112AF" w14:paraId="641A12E9" w14:textId="77777777" w:rsidTr="00AC491A">
        <w:trPr>
          <w:trHeight w:val="527"/>
        </w:trPr>
        <w:tc>
          <w:tcPr>
            <w:tcW w:w="8498" w:type="dxa"/>
          </w:tcPr>
          <w:p w14:paraId="0C0FBEF6" w14:textId="42538D76" w:rsidR="00E744BC" w:rsidRPr="00751F7F" w:rsidRDefault="00E744BC" w:rsidP="00E27627">
            <w:pPr>
              <w:pStyle w:val="Default"/>
              <w:jc w:val="both"/>
              <w:rPr>
                <w:rFonts w:eastAsia="新細明體"/>
                <w:sz w:val="23"/>
                <w:szCs w:val="23"/>
              </w:rPr>
            </w:pPr>
            <w:r w:rsidRPr="00E744BC">
              <w:rPr>
                <w:rFonts w:eastAsia="新細明體"/>
                <w:sz w:val="23"/>
                <w:szCs w:val="23"/>
              </w:rPr>
              <w:t xml:space="preserve">This announcement is made by </w:t>
            </w:r>
            <w:r>
              <w:rPr>
                <w:rFonts w:eastAsia="新細明體"/>
                <w:sz w:val="23"/>
                <w:szCs w:val="23"/>
              </w:rPr>
              <w:t>Tong Kee (</w:t>
            </w:r>
            <w:r w:rsidRPr="00D112AF">
              <w:rPr>
                <w:rFonts w:eastAsia="新細明體"/>
                <w:sz w:val="23"/>
                <w:szCs w:val="23"/>
              </w:rPr>
              <w:t>Holding</w:t>
            </w:r>
            <w:r>
              <w:rPr>
                <w:rFonts w:eastAsia="新細明體"/>
                <w:sz w:val="23"/>
                <w:szCs w:val="23"/>
              </w:rPr>
              <w:t>)</w:t>
            </w:r>
            <w:r w:rsidRPr="00D112AF">
              <w:rPr>
                <w:rFonts w:eastAsia="新細明體"/>
                <w:sz w:val="23"/>
                <w:szCs w:val="23"/>
              </w:rPr>
              <w:t xml:space="preserve"> Limited</w:t>
            </w:r>
            <w:r w:rsidRPr="00E744BC">
              <w:rPr>
                <w:rFonts w:eastAsia="新細明體"/>
                <w:sz w:val="23"/>
                <w:szCs w:val="23"/>
              </w:rPr>
              <w:t xml:space="preserve"> (the “</w:t>
            </w:r>
            <w:r w:rsidRPr="00E744BC">
              <w:rPr>
                <w:rFonts w:eastAsia="新細明體"/>
                <w:b/>
                <w:sz w:val="23"/>
                <w:szCs w:val="23"/>
              </w:rPr>
              <w:t>Company</w:t>
            </w:r>
            <w:r w:rsidRPr="00E744BC">
              <w:rPr>
                <w:rFonts w:eastAsia="新細明體"/>
                <w:sz w:val="23"/>
                <w:szCs w:val="23"/>
              </w:rPr>
              <w:t>”, together with its subsidiaries, the “</w:t>
            </w:r>
            <w:r w:rsidRPr="00E744BC">
              <w:rPr>
                <w:rFonts w:eastAsia="新細明體"/>
                <w:b/>
                <w:sz w:val="23"/>
                <w:szCs w:val="23"/>
              </w:rPr>
              <w:t>Group</w:t>
            </w:r>
            <w:r w:rsidRPr="00E744BC">
              <w:rPr>
                <w:rFonts w:eastAsia="新細明體"/>
                <w:sz w:val="23"/>
                <w:szCs w:val="23"/>
              </w:rPr>
              <w:t>”)</w:t>
            </w:r>
            <w:r w:rsidRPr="00751F7F">
              <w:rPr>
                <w:rFonts w:eastAsia="新細明體"/>
                <w:sz w:val="23"/>
                <w:szCs w:val="23"/>
              </w:rPr>
              <w:t xml:space="preserve"> </w:t>
            </w:r>
            <w:r w:rsidR="00751F7F" w:rsidRPr="00751F7F">
              <w:rPr>
                <w:sz w:val="23"/>
                <w:szCs w:val="23"/>
              </w:rPr>
              <w:t>pursuant to Rule 17.50(4) of the Rules Governing the Listing of Securities on GEM of The Stock Exchange of Hong Kong Limited (the “GEM Listing Rules”)</w:t>
            </w:r>
            <w:r w:rsidRPr="00751F7F">
              <w:rPr>
                <w:rFonts w:eastAsia="新細明體"/>
                <w:sz w:val="23"/>
                <w:szCs w:val="23"/>
              </w:rPr>
              <w:t xml:space="preserve">. </w:t>
            </w:r>
          </w:p>
          <w:p w14:paraId="2F76020F" w14:textId="77777777" w:rsidR="00E744BC" w:rsidRDefault="00E744BC" w:rsidP="00E27627">
            <w:pPr>
              <w:pStyle w:val="Default"/>
              <w:jc w:val="both"/>
              <w:rPr>
                <w:rFonts w:eastAsia="新細明體"/>
                <w:sz w:val="23"/>
                <w:szCs w:val="23"/>
              </w:rPr>
            </w:pPr>
          </w:p>
          <w:p w14:paraId="03093A66" w14:textId="77777777" w:rsidR="00751F7F" w:rsidRPr="00751F7F" w:rsidRDefault="00751F7F" w:rsidP="00E27627">
            <w:pPr>
              <w:pStyle w:val="Default"/>
              <w:jc w:val="both"/>
              <w:rPr>
                <w:b/>
                <w:bCs/>
                <w:sz w:val="23"/>
                <w:szCs w:val="23"/>
              </w:rPr>
            </w:pPr>
            <w:r w:rsidRPr="00751F7F">
              <w:rPr>
                <w:b/>
                <w:bCs/>
                <w:sz w:val="23"/>
                <w:szCs w:val="23"/>
              </w:rPr>
              <w:t xml:space="preserve">RESIGNATION OF AUDITORS </w:t>
            </w:r>
          </w:p>
          <w:p w14:paraId="12B3355F" w14:textId="77777777" w:rsidR="00751F7F" w:rsidRDefault="00751F7F" w:rsidP="00E27627">
            <w:pPr>
              <w:pStyle w:val="Default"/>
              <w:jc w:val="both"/>
            </w:pPr>
          </w:p>
          <w:p w14:paraId="0BBC9EA7" w14:textId="77777777" w:rsidR="00751F7F" w:rsidRDefault="00751F7F" w:rsidP="00E27627">
            <w:pPr>
              <w:pStyle w:val="Default"/>
              <w:jc w:val="both"/>
              <w:rPr>
                <w:sz w:val="23"/>
                <w:szCs w:val="23"/>
              </w:rPr>
            </w:pPr>
            <w:r w:rsidRPr="00751F7F">
              <w:rPr>
                <w:sz w:val="23"/>
                <w:szCs w:val="23"/>
              </w:rPr>
              <w:t xml:space="preserve">The board (the “Board”) of directors (each, a “Director”) of the Company announces that </w:t>
            </w:r>
            <w:r>
              <w:rPr>
                <w:sz w:val="23"/>
                <w:szCs w:val="23"/>
              </w:rPr>
              <w:t xml:space="preserve">Grant </w:t>
            </w:r>
            <w:r w:rsidRPr="00751F7F">
              <w:rPr>
                <w:sz w:val="23"/>
                <w:szCs w:val="23"/>
              </w:rPr>
              <w:t>Thornton Hong Kong Limited (“</w:t>
            </w:r>
            <w:r>
              <w:rPr>
                <w:sz w:val="23"/>
                <w:szCs w:val="23"/>
              </w:rPr>
              <w:t>Grant Thornton</w:t>
            </w:r>
            <w:r w:rsidRPr="00751F7F">
              <w:rPr>
                <w:sz w:val="23"/>
                <w:szCs w:val="23"/>
              </w:rPr>
              <w:t>”) has resigned as the auditors of the Group with effect from 2</w:t>
            </w:r>
            <w:r>
              <w:rPr>
                <w:sz w:val="23"/>
                <w:szCs w:val="23"/>
              </w:rPr>
              <w:t>4</w:t>
            </w:r>
            <w:r w:rsidRPr="00751F7F">
              <w:rPr>
                <w:sz w:val="23"/>
                <w:szCs w:val="23"/>
              </w:rPr>
              <w:t xml:space="preserve"> January 2022, as the Company and </w:t>
            </w:r>
            <w:r>
              <w:rPr>
                <w:sz w:val="23"/>
                <w:szCs w:val="23"/>
              </w:rPr>
              <w:t>Grant Thornton</w:t>
            </w:r>
            <w:r w:rsidRPr="00751F7F">
              <w:rPr>
                <w:sz w:val="23"/>
                <w:szCs w:val="23"/>
              </w:rPr>
              <w:t xml:space="preserve"> could not reach a consensus in respect of the audit fee of the Company for the financial year ended 31 December 2021. </w:t>
            </w:r>
            <w:r>
              <w:rPr>
                <w:sz w:val="23"/>
                <w:szCs w:val="23"/>
              </w:rPr>
              <w:t>Grant Thornton</w:t>
            </w:r>
            <w:r w:rsidRPr="00751F7F">
              <w:rPr>
                <w:sz w:val="23"/>
                <w:szCs w:val="23"/>
              </w:rPr>
              <w:t xml:space="preserve"> have confirmed in their letter of resignation that there are no other matters connected with their resignation that should be brought to the attention of the shareholders (the “Shareholders”) of the Company. </w:t>
            </w:r>
          </w:p>
          <w:p w14:paraId="6D3D64CC" w14:textId="77777777" w:rsidR="00751F7F" w:rsidRDefault="00751F7F" w:rsidP="00E27627">
            <w:pPr>
              <w:pStyle w:val="Default"/>
              <w:jc w:val="both"/>
              <w:rPr>
                <w:sz w:val="23"/>
                <w:szCs w:val="23"/>
              </w:rPr>
            </w:pPr>
          </w:p>
          <w:p w14:paraId="246FAA85" w14:textId="77777777" w:rsidR="00751F7F" w:rsidRDefault="00751F7F" w:rsidP="00E27627">
            <w:pPr>
              <w:pStyle w:val="Default"/>
              <w:jc w:val="both"/>
              <w:rPr>
                <w:sz w:val="23"/>
                <w:szCs w:val="23"/>
              </w:rPr>
            </w:pPr>
            <w:r w:rsidRPr="00751F7F">
              <w:rPr>
                <w:sz w:val="23"/>
                <w:szCs w:val="23"/>
              </w:rPr>
              <w:t xml:space="preserve">Both the Board and the audit committee of the Company confirmed that there is no disagreement between the Company and </w:t>
            </w:r>
            <w:r>
              <w:rPr>
                <w:sz w:val="23"/>
                <w:szCs w:val="23"/>
              </w:rPr>
              <w:t>Grant Thornton</w:t>
            </w:r>
            <w:r w:rsidRPr="00751F7F">
              <w:rPr>
                <w:sz w:val="23"/>
                <w:szCs w:val="23"/>
              </w:rPr>
              <w:t xml:space="preserve"> and there are no matters or circumstances in respect of the change of the auditors which should be brought to the attention of the Shareholders. </w:t>
            </w:r>
          </w:p>
          <w:p w14:paraId="2C89387A" w14:textId="77777777" w:rsidR="00751F7F" w:rsidRDefault="00751F7F" w:rsidP="00E27627">
            <w:pPr>
              <w:pStyle w:val="Default"/>
              <w:jc w:val="both"/>
              <w:rPr>
                <w:sz w:val="23"/>
                <w:szCs w:val="23"/>
              </w:rPr>
            </w:pPr>
          </w:p>
          <w:p w14:paraId="3EC97E0C" w14:textId="6AED7925" w:rsidR="00751F7F" w:rsidRPr="00751F7F" w:rsidRDefault="00751F7F" w:rsidP="00E27627">
            <w:pPr>
              <w:pStyle w:val="Default"/>
              <w:jc w:val="both"/>
              <w:rPr>
                <w:sz w:val="23"/>
                <w:szCs w:val="23"/>
              </w:rPr>
            </w:pPr>
            <w:r w:rsidRPr="00751F7F">
              <w:rPr>
                <w:sz w:val="23"/>
                <w:szCs w:val="23"/>
              </w:rPr>
              <w:t xml:space="preserve">The Board further confirmed that </w:t>
            </w:r>
            <w:r>
              <w:rPr>
                <w:sz w:val="23"/>
                <w:szCs w:val="23"/>
              </w:rPr>
              <w:t>Grant Thornton</w:t>
            </w:r>
            <w:r w:rsidRPr="00751F7F">
              <w:rPr>
                <w:sz w:val="23"/>
                <w:szCs w:val="23"/>
              </w:rPr>
              <w:t xml:space="preserve"> has not commenced any audit work on the consolidated financial statements of the Group for the financial year ended 31 December 2021. </w:t>
            </w:r>
          </w:p>
          <w:p w14:paraId="2B6D1BE6" w14:textId="77777777" w:rsidR="00751F7F" w:rsidRDefault="00751F7F" w:rsidP="00E27627">
            <w:pPr>
              <w:pStyle w:val="Default"/>
              <w:jc w:val="both"/>
            </w:pPr>
          </w:p>
          <w:p w14:paraId="4C2DB163" w14:textId="77777777" w:rsidR="00751F7F" w:rsidRPr="00751F7F" w:rsidRDefault="00751F7F" w:rsidP="00E27627">
            <w:pPr>
              <w:pStyle w:val="Default"/>
              <w:jc w:val="both"/>
              <w:rPr>
                <w:b/>
                <w:bCs/>
                <w:sz w:val="23"/>
                <w:szCs w:val="23"/>
              </w:rPr>
            </w:pPr>
            <w:r w:rsidRPr="00751F7F">
              <w:rPr>
                <w:b/>
                <w:bCs/>
                <w:sz w:val="23"/>
                <w:szCs w:val="23"/>
              </w:rPr>
              <w:lastRenderedPageBreak/>
              <w:t xml:space="preserve">APPOINTMENT OF NEW AUDITORS </w:t>
            </w:r>
          </w:p>
          <w:p w14:paraId="2DBAFA3D" w14:textId="77777777" w:rsidR="00751F7F" w:rsidRDefault="00751F7F" w:rsidP="00E27627">
            <w:pPr>
              <w:pStyle w:val="Default"/>
              <w:jc w:val="both"/>
            </w:pPr>
          </w:p>
          <w:p w14:paraId="4FA5177C" w14:textId="64D4849B" w:rsidR="00E744BC" w:rsidRPr="00762598" w:rsidRDefault="00751F7F" w:rsidP="00E27627">
            <w:pPr>
              <w:pStyle w:val="Default"/>
              <w:jc w:val="both"/>
              <w:rPr>
                <w:rFonts w:eastAsia="新細明體"/>
                <w:b/>
                <w:bCs/>
                <w:sz w:val="23"/>
                <w:szCs w:val="23"/>
              </w:rPr>
            </w:pPr>
            <w:r>
              <w:t>The Board further announces that, with the recommendation from the audit committee of the Company, D &amp; Partners CPA Limited has been appointed as the auditors of the Group with effect from 24 January 2022 to fill the casual vacancy following the resignation of Grant Thornton and to hold office until the conclusion of the next annual general meeting of the Company. The Board believes that the change of auditors will not have any impact on the annual audit of the Group for the financial year ended 31 December 2021. The Board would like to take this opportunity to express its gratitude to Grant Thornton for its professional services rendered in the past years</w:t>
            </w:r>
            <w:r w:rsidR="00E744BC" w:rsidRPr="00762598">
              <w:rPr>
                <w:rFonts w:eastAsia="新細明體"/>
                <w:b/>
                <w:bCs/>
                <w:sz w:val="23"/>
                <w:szCs w:val="23"/>
              </w:rPr>
              <w:t>.</w:t>
            </w:r>
          </w:p>
          <w:p w14:paraId="4B6414E6" w14:textId="3580A210" w:rsidR="00E27627" w:rsidRPr="00EB304E" w:rsidRDefault="00E27627" w:rsidP="00E27627">
            <w:pPr>
              <w:pStyle w:val="Default"/>
              <w:jc w:val="both"/>
              <w:rPr>
                <w:rFonts w:eastAsia="新細明體"/>
                <w:sz w:val="23"/>
                <w:szCs w:val="23"/>
              </w:rPr>
            </w:pPr>
          </w:p>
          <w:p w14:paraId="019E95E2" w14:textId="77777777" w:rsidR="00E27627" w:rsidRDefault="00E27627">
            <w:pPr>
              <w:pStyle w:val="Default"/>
              <w:rPr>
                <w:sz w:val="23"/>
                <w:szCs w:val="23"/>
              </w:rPr>
            </w:pPr>
          </w:p>
          <w:p w14:paraId="30BB3019" w14:textId="7DEEC2EA" w:rsidR="00E27627" w:rsidRDefault="00D112AF" w:rsidP="00AC491A">
            <w:pPr>
              <w:pStyle w:val="Default"/>
              <w:ind w:right="345"/>
              <w:jc w:val="right"/>
              <w:rPr>
                <w:sz w:val="23"/>
                <w:szCs w:val="23"/>
              </w:rPr>
            </w:pPr>
            <w:r w:rsidRPr="00D112AF">
              <w:rPr>
                <w:sz w:val="23"/>
                <w:szCs w:val="23"/>
              </w:rPr>
              <w:t>By order of the Board</w:t>
            </w:r>
            <w:r w:rsidR="00E27627">
              <w:rPr>
                <w:sz w:val="23"/>
                <w:szCs w:val="23"/>
              </w:rPr>
              <w:t xml:space="preserve">          </w:t>
            </w:r>
            <w:r w:rsidRPr="00D112AF">
              <w:rPr>
                <w:sz w:val="23"/>
                <w:szCs w:val="23"/>
              </w:rPr>
              <w:t xml:space="preserve"> </w:t>
            </w:r>
          </w:p>
          <w:p w14:paraId="2E8171AB" w14:textId="7AA89724" w:rsidR="00D112AF" w:rsidRPr="00D112AF" w:rsidRDefault="00E27627" w:rsidP="00E27627">
            <w:pPr>
              <w:pStyle w:val="Default"/>
              <w:jc w:val="right"/>
              <w:rPr>
                <w:sz w:val="23"/>
                <w:szCs w:val="23"/>
              </w:rPr>
            </w:pPr>
            <w:r w:rsidRPr="00E27627">
              <w:rPr>
                <w:b/>
                <w:bCs/>
                <w:sz w:val="23"/>
                <w:szCs w:val="23"/>
              </w:rPr>
              <w:t>Tong Kee (Holding) Limited</w:t>
            </w:r>
          </w:p>
          <w:p w14:paraId="36F2823E" w14:textId="5EE192D0" w:rsidR="00D112AF" w:rsidRPr="00D112AF" w:rsidRDefault="00E27627" w:rsidP="00AC491A">
            <w:pPr>
              <w:pStyle w:val="Default"/>
              <w:ind w:right="345"/>
              <w:jc w:val="right"/>
              <w:rPr>
                <w:sz w:val="23"/>
                <w:szCs w:val="23"/>
              </w:rPr>
            </w:pPr>
            <w:r>
              <w:rPr>
                <w:b/>
                <w:bCs/>
                <w:sz w:val="23"/>
                <w:szCs w:val="23"/>
              </w:rPr>
              <w:t>Heung Chung Sum</w:t>
            </w:r>
          </w:p>
          <w:p w14:paraId="3AB484A6" w14:textId="06911FA9" w:rsidR="00D112AF" w:rsidRDefault="00D112AF" w:rsidP="00AC491A">
            <w:pPr>
              <w:pStyle w:val="Default"/>
              <w:ind w:right="805"/>
              <w:jc w:val="right"/>
              <w:rPr>
                <w:i/>
                <w:iCs/>
                <w:sz w:val="23"/>
                <w:szCs w:val="23"/>
              </w:rPr>
            </w:pPr>
            <w:r w:rsidRPr="00D112AF">
              <w:rPr>
                <w:i/>
                <w:iCs/>
                <w:sz w:val="23"/>
                <w:szCs w:val="23"/>
              </w:rPr>
              <w:t>Chairman</w:t>
            </w:r>
          </w:p>
          <w:p w14:paraId="107B4531" w14:textId="3A80C030" w:rsidR="00E27627" w:rsidRPr="00D112AF" w:rsidRDefault="00E27627" w:rsidP="0042512D">
            <w:pPr>
              <w:pStyle w:val="Default"/>
              <w:rPr>
                <w:sz w:val="23"/>
                <w:szCs w:val="23"/>
              </w:rPr>
            </w:pPr>
            <w:r>
              <w:rPr>
                <w:rFonts w:hint="eastAsia"/>
                <w:sz w:val="23"/>
                <w:szCs w:val="23"/>
              </w:rPr>
              <w:t>H</w:t>
            </w:r>
            <w:r>
              <w:rPr>
                <w:sz w:val="23"/>
                <w:szCs w:val="23"/>
              </w:rPr>
              <w:t xml:space="preserve">ong Kong, </w:t>
            </w:r>
            <w:r w:rsidR="00751F7F">
              <w:rPr>
                <w:sz w:val="23"/>
                <w:szCs w:val="23"/>
              </w:rPr>
              <w:t>24 January</w:t>
            </w:r>
            <w:r>
              <w:rPr>
                <w:sz w:val="23"/>
                <w:szCs w:val="23"/>
              </w:rPr>
              <w:t xml:space="preserve"> 20</w:t>
            </w:r>
            <w:r w:rsidR="00F52DA2">
              <w:rPr>
                <w:sz w:val="23"/>
                <w:szCs w:val="23"/>
              </w:rPr>
              <w:t>2</w:t>
            </w:r>
            <w:r w:rsidR="00751F7F">
              <w:rPr>
                <w:sz w:val="23"/>
                <w:szCs w:val="23"/>
              </w:rPr>
              <w:t>2</w:t>
            </w:r>
          </w:p>
        </w:tc>
      </w:tr>
    </w:tbl>
    <w:p w14:paraId="575451A1" w14:textId="096F78AA" w:rsidR="0049184A" w:rsidRDefault="0049184A">
      <w:pPr>
        <w:rPr>
          <w:rFonts w:ascii="Times New Roman" w:hAnsi="Times New Roman" w:cs="Times New Roman"/>
        </w:rPr>
      </w:pPr>
    </w:p>
    <w:p w14:paraId="12CD85AE" w14:textId="34A73571" w:rsidR="00200E56" w:rsidRDefault="00200E56" w:rsidP="00E27627">
      <w:pPr>
        <w:pStyle w:val="Default"/>
        <w:jc w:val="both"/>
        <w:rPr>
          <w:i/>
          <w:iCs/>
          <w:sz w:val="22"/>
          <w:szCs w:val="22"/>
        </w:rPr>
      </w:pPr>
    </w:p>
    <w:p w14:paraId="0DBA0420" w14:textId="77777777" w:rsidR="00BE1583" w:rsidRDefault="00BE1583" w:rsidP="00E27627">
      <w:pPr>
        <w:pStyle w:val="Default"/>
        <w:jc w:val="both"/>
        <w:rPr>
          <w:i/>
          <w:iCs/>
          <w:sz w:val="22"/>
          <w:szCs w:val="22"/>
        </w:rPr>
      </w:pPr>
    </w:p>
    <w:p w14:paraId="61372137" w14:textId="6D9BF331" w:rsidR="00E27627" w:rsidRDefault="00E27627" w:rsidP="00E27627">
      <w:pPr>
        <w:pStyle w:val="Default"/>
        <w:jc w:val="both"/>
        <w:rPr>
          <w:i/>
          <w:iCs/>
          <w:sz w:val="22"/>
          <w:szCs w:val="22"/>
        </w:rPr>
      </w:pPr>
      <w:r>
        <w:rPr>
          <w:i/>
          <w:iCs/>
          <w:sz w:val="22"/>
          <w:szCs w:val="22"/>
        </w:rPr>
        <w:t xml:space="preserve">As at the date of this announcement, the executive </w:t>
      </w:r>
      <w:r w:rsidR="00A369B7">
        <w:rPr>
          <w:i/>
          <w:iCs/>
          <w:sz w:val="22"/>
          <w:szCs w:val="22"/>
        </w:rPr>
        <w:t>D</w:t>
      </w:r>
      <w:r>
        <w:rPr>
          <w:i/>
          <w:iCs/>
          <w:sz w:val="22"/>
          <w:szCs w:val="22"/>
        </w:rPr>
        <w:t>irectors are Mr. Heung Chun</w:t>
      </w:r>
      <w:r w:rsidR="00C75FEB">
        <w:rPr>
          <w:i/>
          <w:iCs/>
          <w:sz w:val="22"/>
          <w:szCs w:val="22"/>
        </w:rPr>
        <w:t>g</w:t>
      </w:r>
      <w:r>
        <w:rPr>
          <w:i/>
          <w:iCs/>
          <w:sz w:val="22"/>
          <w:szCs w:val="22"/>
        </w:rPr>
        <w:t xml:space="preserve"> Sum and Mr. Chan Wai Hon Alan; the non-executive </w:t>
      </w:r>
      <w:r w:rsidR="00A369B7">
        <w:rPr>
          <w:i/>
          <w:iCs/>
          <w:sz w:val="22"/>
          <w:szCs w:val="22"/>
        </w:rPr>
        <w:t>D</w:t>
      </w:r>
      <w:r>
        <w:rPr>
          <w:i/>
          <w:iCs/>
          <w:sz w:val="22"/>
          <w:szCs w:val="22"/>
        </w:rPr>
        <w:t>irector</w:t>
      </w:r>
      <w:r w:rsidR="00C75FEB">
        <w:rPr>
          <w:i/>
          <w:iCs/>
          <w:sz w:val="22"/>
          <w:szCs w:val="22"/>
        </w:rPr>
        <w:t>s</w:t>
      </w:r>
      <w:r>
        <w:rPr>
          <w:i/>
          <w:iCs/>
          <w:sz w:val="22"/>
          <w:szCs w:val="22"/>
        </w:rPr>
        <w:t xml:space="preserve"> are Ms</w:t>
      </w:r>
      <w:r w:rsidR="00BF70DA">
        <w:rPr>
          <w:i/>
          <w:iCs/>
          <w:sz w:val="22"/>
          <w:szCs w:val="22"/>
        </w:rPr>
        <w:t>.</w:t>
      </w:r>
      <w:r>
        <w:rPr>
          <w:i/>
          <w:iCs/>
          <w:sz w:val="22"/>
          <w:szCs w:val="22"/>
        </w:rPr>
        <w:t xml:space="preserve"> Heung Joe </w:t>
      </w:r>
      <w:r w:rsidR="00C75FEB">
        <w:rPr>
          <w:i/>
          <w:iCs/>
          <w:sz w:val="22"/>
          <w:szCs w:val="22"/>
        </w:rPr>
        <w:t xml:space="preserve">Yee </w:t>
      </w:r>
      <w:r>
        <w:rPr>
          <w:i/>
          <w:iCs/>
          <w:sz w:val="22"/>
          <w:szCs w:val="22"/>
        </w:rPr>
        <w:t xml:space="preserve">and Ms. Heung Joe </w:t>
      </w:r>
      <w:r w:rsidR="00C75FEB">
        <w:rPr>
          <w:i/>
          <w:iCs/>
          <w:sz w:val="22"/>
          <w:szCs w:val="22"/>
        </w:rPr>
        <w:t>Tung</w:t>
      </w:r>
      <w:r>
        <w:rPr>
          <w:i/>
          <w:iCs/>
          <w:sz w:val="22"/>
          <w:szCs w:val="22"/>
        </w:rPr>
        <w:t xml:space="preserve">; and the independent non-executive </w:t>
      </w:r>
      <w:r w:rsidR="00A369B7">
        <w:rPr>
          <w:i/>
          <w:iCs/>
          <w:sz w:val="22"/>
          <w:szCs w:val="22"/>
        </w:rPr>
        <w:t>D</w:t>
      </w:r>
      <w:r>
        <w:rPr>
          <w:i/>
          <w:iCs/>
          <w:sz w:val="22"/>
          <w:szCs w:val="22"/>
        </w:rPr>
        <w:t xml:space="preserve">irectors are Dr. Ip Wai Hung, Mr. </w:t>
      </w:r>
      <w:r w:rsidR="00CB3952">
        <w:rPr>
          <w:i/>
          <w:iCs/>
          <w:sz w:val="22"/>
          <w:szCs w:val="22"/>
        </w:rPr>
        <w:t>Ko, Wilson Wai Shun and</w:t>
      </w:r>
      <w:r>
        <w:rPr>
          <w:i/>
          <w:iCs/>
          <w:sz w:val="22"/>
          <w:szCs w:val="22"/>
        </w:rPr>
        <w:t xml:space="preserve"> Mr. </w:t>
      </w:r>
      <w:r w:rsidR="00CB3952">
        <w:rPr>
          <w:i/>
          <w:iCs/>
          <w:sz w:val="22"/>
          <w:szCs w:val="22"/>
        </w:rPr>
        <w:t>Chan Ch</w:t>
      </w:r>
      <w:r w:rsidR="00C75FEB">
        <w:rPr>
          <w:i/>
          <w:iCs/>
          <w:sz w:val="22"/>
          <w:szCs w:val="22"/>
        </w:rPr>
        <w:t>i</w:t>
      </w:r>
      <w:r w:rsidR="00CB3952">
        <w:rPr>
          <w:i/>
          <w:iCs/>
          <w:sz w:val="22"/>
          <w:szCs w:val="22"/>
        </w:rPr>
        <w:t xml:space="preserve"> Ha</w:t>
      </w:r>
      <w:r>
        <w:rPr>
          <w:i/>
          <w:iCs/>
          <w:sz w:val="22"/>
          <w:szCs w:val="22"/>
        </w:rPr>
        <w:t>ng.</w:t>
      </w:r>
    </w:p>
    <w:p w14:paraId="1FA36ECF" w14:textId="7B895CE7" w:rsidR="00AC0FBE" w:rsidRDefault="00AC0FBE">
      <w:pPr>
        <w:widowControl/>
        <w:rPr>
          <w:rFonts w:ascii="Times New Roman" w:hAnsi="Times New Roman" w:cs="Times New Roman"/>
          <w:i/>
          <w:iCs/>
          <w:color w:val="000000"/>
          <w:kern w:val="0"/>
          <w:sz w:val="22"/>
        </w:rPr>
      </w:pPr>
    </w:p>
    <w:p w14:paraId="2EF96370" w14:textId="3B1391C2" w:rsidR="00C75FEB" w:rsidRDefault="00C75FEB" w:rsidP="00E27627">
      <w:pPr>
        <w:pStyle w:val="Default"/>
        <w:jc w:val="both"/>
        <w:rPr>
          <w:i/>
          <w:iCs/>
          <w:sz w:val="22"/>
          <w:szCs w:val="22"/>
        </w:rPr>
      </w:pPr>
      <w:r w:rsidRPr="00C75FEB">
        <w:rPr>
          <w:i/>
          <w:iCs/>
          <w:sz w:val="22"/>
          <w:szCs w:val="22"/>
        </w:rPr>
        <w:t xml:space="preserve">This announcement, for which the </w:t>
      </w:r>
      <w:r w:rsidR="00A369B7">
        <w:rPr>
          <w:i/>
          <w:iCs/>
          <w:sz w:val="22"/>
          <w:szCs w:val="22"/>
        </w:rPr>
        <w:t>D</w:t>
      </w:r>
      <w:r w:rsidRPr="00C75FEB">
        <w:rPr>
          <w:i/>
          <w:iCs/>
          <w:sz w:val="22"/>
          <w:szCs w:val="22"/>
        </w:rPr>
        <w:t>irectors</w:t>
      </w:r>
      <w:r>
        <w:rPr>
          <w:i/>
          <w:iCs/>
          <w:sz w:val="22"/>
          <w:szCs w:val="22"/>
        </w:rPr>
        <w:t xml:space="preserve"> </w:t>
      </w:r>
      <w:r w:rsidRPr="00C75FEB">
        <w:rPr>
          <w:i/>
          <w:iCs/>
          <w:sz w:val="22"/>
          <w:szCs w:val="22"/>
        </w:rPr>
        <w:t>collectively and individually accept full responsibility, includes</w:t>
      </w:r>
      <w:r>
        <w:rPr>
          <w:i/>
          <w:iCs/>
          <w:sz w:val="22"/>
          <w:szCs w:val="22"/>
        </w:rPr>
        <w:t xml:space="preserve"> </w:t>
      </w:r>
      <w:r w:rsidRPr="00C75FEB">
        <w:rPr>
          <w:i/>
          <w:iCs/>
          <w:sz w:val="22"/>
          <w:szCs w:val="22"/>
        </w:rPr>
        <w:t xml:space="preserve">particulars given in compliance with the Rules Governing the Listing of Securities on </w:t>
      </w:r>
      <w:r w:rsidRPr="00A369B7">
        <w:rPr>
          <w:i/>
          <w:iCs/>
          <w:sz w:val="22"/>
          <w:szCs w:val="22"/>
        </w:rPr>
        <w:t>GEM</w:t>
      </w:r>
      <w:r w:rsidRPr="00C75FEB">
        <w:rPr>
          <w:i/>
          <w:iCs/>
          <w:sz w:val="22"/>
          <w:szCs w:val="22"/>
        </w:rPr>
        <w:t xml:space="preserve"> of </w:t>
      </w:r>
      <w:r w:rsidR="00A369B7">
        <w:rPr>
          <w:i/>
          <w:iCs/>
          <w:sz w:val="22"/>
          <w:szCs w:val="22"/>
        </w:rPr>
        <w:t>T</w:t>
      </w:r>
      <w:r w:rsidRPr="00C75FEB">
        <w:rPr>
          <w:i/>
          <w:iCs/>
          <w:sz w:val="22"/>
          <w:szCs w:val="22"/>
        </w:rPr>
        <w:t>he Stock Exchange of Hong Kong Limited for the purpose of giving information with</w:t>
      </w:r>
      <w:r>
        <w:rPr>
          <w:i/>
          <w:iCs/>
          <w:sz w:val="22"/>
          <w:szCs w:val="22"/>
        </w:rPr>
        <w:t xml:space="preserve"> </w:t>
      </w:r>
      <w:r w:rsidRPr="00C75FEB">
        <w:rPr>
          <w:i/>
          <w:iCs/>
          <w:sz w:val="22"/>
          <w:szCs w:val="22"/>
        </w:rPr>
        <w:t xml:space="preserve">regard to the Company. The </w:t>
      </w:r>
      <w:r w:rsidR="00A369B7">
        <w:rPr>
          <w:i/>
          <w:iCs/>
          <w:sz w:val="22"/>
          <w:szCs w:val="22"/>
        </w:rPr>
        <w:t>D</w:t>
      </w:r>
      <w:r w:rsidRPr="00C75FEB">
        <w:rPr>
          <w:i/>
          <w:iCs/>
          <w:sz w:val="22"/>
          <w:szCs w:val="22"/>
        </w:rPr>
        <w:t>irectors, having made all reasonable enquires, confirm that, to the best of their</w:t>
      </w:r>
      <w:r>
        <w:rPr>
          <w:i/>
          <w:iCs/>
          <w:sz w:val="22"/>
          <w:szCs w:val="22"/>
        </w:rPr>
        <w:t xml:space="preserve"> </w:t>
      </w:r>
      <w:r w:rsidRPr="00C75FEB">
        <w:rPr>
          <w:i/>
          <w:iCs/>
          <w:sz w:val="22"/>
          <w:szCs w:val="22"/>
        </w:rPr>
        <w:t>knowledge and belief, the information contained in this announcement is accurate and complete in all material</w:t>
      </w:r>
      <w:r>
        <w:rPr>
          <w:i/>
          <w:iCs/>
          <w:sz w:val="22"/>
          <w:szCs w:val="22"/>
        </w:rPr>
        <w:t xml:space="preserve"> </w:t>
      </w:r>
      <w:r w:rsidRPr="00C75FEB">
        <w:rPr>
          <w:i/>
          <w:iCs/>
          <w:sz w:val="22"/>
          <w:szCs w:val="22"/>
        </w:rPr>
        <w:t>respects and not misleading or deceptive, and there are no other matters the omission of which would make any</w:t>
      </w:r>
      <w:r>
        <w:rPr>
          <w:i/>
          <w:iCs/>
          <w:sz w:val="22"/>
          <w:szCs w:val="22"/>
        </w:rPr>
        <w:t xml:space="preserve"> </w:t>
      </w:r>
      <w:r w:rsidRPr="00C75FEB">
        <w:rPr>
          <w:i/>
          <w:iCs/>
          <w:sz w:val="22"/>
          <w:szCs w:val="22"/>
        </w:rPr>
        <w:t>statement herein or this announcement misleading.</w:t>
      </w:r>
      <w:r w:rsidRPr="00C75FEB">
        <w:rPr>
          <w:i/>
          <w:iCs/>
          <w:sz w:val="22"/>
          <w:szCs w:val="22"/>
        </w:rPr>
        <w:cr/>
      </w:r>
    </w:p>
    <w:p w14:paraId="424D8977" w14:textId="77777777" w:rsidR="00C75FEB" w:rsidRPr="00E27627" w:rsidRDefault="00C75FEB" w:rsidP="00C75FEB">
      <w:pPr>
        <w:pStyle w:val="Default"/>
        <w:jc w:val="both"/>
        <w:rPr>
          <w:i/>
          <w:iCs/>
          <w:sz w:val="22"/>
          <w:szCs w:val="22"/>
        </w:rPr>
      </w:pPr>
      <w:r w:rsidRPr="00BD0DC1">
        <w:rPr>
          <w:i/>
          <w:iCs/>
          <w:sz w:val="22"/>
          <w:szCs w:val="22"/>
        </w:rPr>
        <w:t>This announcement will remain on the ‘‘Latest Company Announcements’’ page of the GEM</w:t>
      </w:r>
      <w:r>
        <w:rPr>
          <w:i/>
          <w:iCs/>
          <w:sz w:val="22"/>
          <w:szCs w:val="22"/>
        </w:rPr>
        <w:t xml:space="preserve"> </w:t>
      </w:r>
      <w:r w:rsidRPr="00BD0DC1">
        <w:rPr>
          <w:i/>
          <w:iCs/>
          <w:sz w:val="22"/>
          <w:szCs w:val="22"/>
        </w:rPr>
        <w:t>website at www.hkgem.com for at least 7 days from the day of its publication. This announcement,</w:t>
      </w:r>
      <w:r>
        <w:rPr>
          <w:i/>
          <w:iCs/>
          <w:sz w:val="22"/>
          <w:szCs w:val="22"/>
        </w:rPr>
        <w:t xml:space="preserve"> </w:t>
      </w:r>
      <w:r w:rsidRPr="00BD0DC1">
        <w:rPr>
          <w:i/>
          <w:iCs/>
          <w:sz w:val="22"/>
          <w:szCs w:val="22"/>
        </w:rPr>
        <w:t>will also be published on the Company’s website at www.tongkee.com.hk.</w:t>
      </w:r>
    </w:p>
    <w:p w14:paraId="13412F01" w14:textId="77777777" w:rsidR="00C75FEB" w:rsidRPr="00C75FEB" w:rsidRDefault="00C75FEB" w:rsidP="00E27627">
      <w:pPr>
        <w:pStyle w:val="Default"/>
        <w:jc w:val="both"/>
        <w:rPr>
          <w:i/>
          <w:iCs/>
          <w:sz w:val="22"/>
          <w:szCs w:val="22"/>
        </w:rPr>
      </w:pPr>
    </w:p>
    <w:sectPr w:rsidR="00C75FEB" w:rsidRPr="00C75FE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73D0" w14:textId="77777777" w:rsidR="00A62E6F" w:rsidRDefault="00A62E6F" w:rsidP="00C75FEB">
      <w:r>
        <w:separator/>
      </w:r>
    </w:p>
  </w:endnote>
  <w:endnote w:type="continuationSeparator" w:id="0">
    <w:p w14:paraId="625CE7F4" w14:textId="77777777" w:rsidR="00A62E6F" w:rsidRDefault="00A62E6F" w:rsidP="00C7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6F12" w14:textId="77777777" w:rsidR="00A62E6F" w:rsidRDefault="00A62E6F" w:rsidP="00C75FEB">
      <w:r>
        <w:separator/>
      </w:r>
    </w:p>
  </w:footnote>
  <w:footnote w:type="continuationSeparator" w:id="0">
    <w:p w14:paraId="5CC6A33A" w14:textId="77777777" w:rsidR="00A62E6F" w:rsidRDefault="00A62E6F" w:rsidP="00C75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AF"/>
    <w:rsid w:val="00030F8B"/>
    <w:rsid w:val="0009038D"/>
    <w:rsid w:val="000962C1"/>
    <w:rsid w:val="000A168E"/>
    <w:rsid w:val="000B69E3"/>
    <w:rsid w:val="00137553"/>
    <w:rsid w:val="00174D35"/>
    <w:rsid w:val="001A7E96"/>
    <w:rsid w:val="001B2B26"/>
    <w:rsid w:val="001D2423"/>
    <w:rsid w:val="001E2581"/>
    <w:rsid w:val="00200E56"/>
    <w:rsid w:val="002A68E2"/>
    <w:rsid w:val="002B530E"/>
    <w:rsid w:val="002C5084"/>
    <w:rsid w:val="00323F0B"/>
    <w:rsid w:val="00382C4A"/>
    <w:rsid w:val="003A713E"/>
    <w:rsid w:val="003F7525"/>
    <w:rsid w:val="004015E1"/>
    <w:rsid w:val="004100E5"/>
    <w:rsid w:val="0042512D"/>
    <w:rsid w:val="00457DB5"/>
    <w:rsid w:val="00464AA5"/>
    <w:rsid w:val="00470094"/>
    <w:rsid w:val="0049184A"/>
    <w:rsid w:val="004C573D"/>
    <w:rsid w:val="004F51B1"/>
    <w:rsid w:val="00507629"/>
    <w:rsid w:val="00512512"/>
    <w:rsid w:val="00523062"/>
    <w:rsid w:val="00562419"/>
    <w:rsid w:val="005A0D83"/>
    <w:rsid w:val="005D32B9"/>
    <w:rsid w:val="005E2193"/>
    <w:rsid w:val="006451CB"/>
    <w:rsid w:val="00665FD8"/>
    <w:rsid w:val="00683317"/>
    <w:rsid w:val="006D4525"/>
    <w:rsid w:val="00751F44"/>
    <w:rsid w:val="00751F7F"/>
    <w:rsid w:val="00762598"/>
    <w:rsid w:val="00783A94"/>
    <w:rsid w:val="007935B6"/>
    <w:rsid w:val="007A0441"/>
    <w:rsid w:val="007F6382"/>
    <w:rsid w:val="00804FC8"/>
    <w:rsid w:val="00837F24"/>
    <w:rsid w:val="008438A2"/>
    <w:rsid w:val="0087576C"/>
    <w:rsid w:val="0088477B"/>
    <w:rsid w:val="008A38B8"/>
    <w:rsid w:val="008B01E3"/>
    <w:rsid w:val="008D71C6"/>
    <w:rsid w:val="00952954"/>
    <w:rsid w:val="009717E4"/>
    <w:rsid w:val="009F271F"/>
    <w:rsid w:val="00A369B7"/>
    <w:rsid w:val="00A42B44"/>
    <w:rsid w:val="00A607BE"/>
    <w:rsid w:val="00A62E6F"/>
    <w:rsid w:val="00AC0FBE"/>
    <w:rsid w:val="00AC491A"/>
    <w:rsid w:val="00AD5DDB"/>
    <w:rsid w:val="00BD61EC"/>
    <w:rsid w:val="00BE1583"/>
    <w:rsid w:val="00BF70DA"/>
    <w:rsid w:val="00C05D1C"/>
    <w:rsid w:val="00C107EB"/>
    <w:rsid w:val="00C75FEB"/>
    <w:rsid w:val="00CA0EA9"/>
    <w:rsid w:val="00CB3952"/>
    <w:rsid w:val="00CC7B1B"/>
    <w:rsid w:val="00CD3E0E"/>
    <w:rsid w:val="00D06BB5"/>
    <w:rsid w:val="00D112AF"/>
    <w:rsid w:val="00D17F60"/>
    <w:rsid w:val="00D23AB0"/>
    <w:rsid w:val="00D51B72"/>
    <w:rsid w:val="00D8404D"/>
    <w:rsid w:val="00DC3E5D"/>
    <w:rsid w:val="00DF5BCE"/>
    <w:rsid w:val="00DF66F8"/>
    <w:rsid w:val="00E27627"/>
    <w:rsid w:val="00E744BC"/>
    <w:rsid w:val="00E91953"/>
    <w:rsid w:val="00E96662"/>
    <w:rsid w:val="00E97F72"/>
    <w:rsid w:val="00EB239D"/>
    <w:rsid w:val="00EB2A75"/>
    <w:rsid w:val="00EB304E"/>
    <w:rsid w:val="00EF2844"/>
    <w:rsid w:val="00F11641"/>
    <w:rsid w:val="00F37E3C"/>
    <w:rsid w:val="00F52DA2"/>
    <w:rsid w:val="00FC7432"/>
    <w:rsid w:val="00FF04B2"/>
    <w:rsid w:val="00FF7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83C91B"/>
  <w15:chartTrackingRefBased/>
  <w15:docId w15:val="{2924D849-0AE8-48A7-B645-364F02F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2AF"/>
    <w:pPr>
      <w:widowControl w:val="0"/>
      <w:autoSpaceDE w:val="0"/>
      <w:autoSpaceDN w:val="0"/>
      <w:adjustRightInd w:val="0"/>
    </w:pPr>
    <w:rPr>
      <w:rFonts w:ascii="Times New Roman" w:hAnsi="Times New Roman" w:cs="Times New Roman"/>
      <w:color w:val="000000"/>
      <w:kern w:val="0"/>
      <w:szCs w:val="24"/>
    </w:rPr>
  </w:style>
  <w:style w:type="paragraph" w:styleId="a3">
    <w:name w:val="header"/>
    <w:basedOn w:val="a"/>
    <w:link w:val="a4"/>
    <w:uiPriority w:val="99"/>
    <w:unhideWhenUsed/>
    <w:rsid w:val="00C75FEB"/>
    <w:pPr>
      <w:tabs>
        <w:tab w:val="center" w:pos="4153"/>
        <w:tab w:val="right" w:pos="8306"/>
      </w:tabs>
      <w:snapToGrid w:val="0"/>
    </w:pPr>
    <w:rPr>
      <w:sz w:val="20"/>
      <w:szCs w:val="20"/>
    </w:rPr>
  </w:style>
  <w:style w:type="character" w:customStyle="1" w:styleId="a4">
    <w:name w:val="頁首 字元"/>
    <w:basedOn w:val="a0"/>
    <w:link w:val="a3"/>
    <w:uiPriority w:val="99"/>
    <w:rsid w:val="00C75FEB"/>
    <w:rPr>
      <w:sz w:val="20"/>
      <w:szCs w:val="20"/>
    </w:rPr>
  </w:style>
  <w:style w:type="paragraph" w:styleId="a5">
    <w:name w:val="footer"/>
    <w:basedOn w:val="a"/>
    <w:link w:val="a6"/>
    <w:uiPriority w:val="99"/>
    <w:unhideWhenUsed/>
    <w:rsid w:val="00C75FEB"/>
    <w:pPr>
      <w:tabs>
        <w:tab w:val="center" w:pos="4153"/>
        <w:tab w:val="right" w:pos="8306"/>
      </w:tabs>
      <w:snapToGrid w:val="0"/>
    </w:pPr>
    <w:rPr>
      <w:sz w:val="20"/>
      <w:szCs w:val="20"/>
    </w:rPr>
  </w:style>
  <w:style w:type="character" w:customStyle="1" w:styleId="a6">
    <w:name w:val="頁尾 字元"/>
    <w:basedOn w:val="a0"/>
    <w:link w:val="a5"/>
    <w:uiPriority w:val="99"/>
    <w:rsid w:val="00C75FEB"/>
    <w:rPr>
      <w:sz w:val="20"/>
      <w:szCs w:val="20"/>
    </w:rPr>
  </w:style>
  <w:style w:type="paragraph" w:styleId="a7">
    <w:name w:val="Balloon Text"/>
    <w:basedOn w:val="a"/>
    <w:link w:val="a8"/>
    <w:uiPriority w:val="99"/>
    <w:semiHidden/>
    <w:unhideWhenUsed/>
    <w:rsid w:val="00AC0F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0FB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37E3C"/>
    <w:rPr>
      <w:sz w:val="16"/>
      <w:szCs w:val="16"/>
    </w:rPr>
  </w:style>
  <w:style w:type="paragraph" w:styleId="aa">
    <w:name w:val="annotation text"/>
    <w:basedOn w:val="a"/>
    <w:link w:val="ab"/>
    <w:uiPriority w:val="99"/>
    <w:semiHidden/>
    <w:unhideWhenUsed/>
    <w:rsid w:val="00F37E3C"/>
    <w:rPr>
      <w:sz w:val="20"/>
      <w:szCs w:val="20"/>
    </w:rPr>
  </w:style>
  <w:style w:type="character" w:customStyle="1" w:styleId="ab">
    <w:name w:val="註解文字 字元"/>
    <w:basedOn w:val="a0"/>
    <w:link w:val="aa"/>
    <w:uiPriority w:val="99"/>
    <w:semiHidden/>
    <w:rsid w:val="00F37E3C"/>
    <w:rPr>
      <w:sz w:val="20"/>
      <w:szCs w:val="20"/>
    </w:rPr>
  </w:style>
  <w:style w:type="paragraph" w:styleId="ac">
    <w:name w:val="annotation subject"/>
    <w:basedOn w:val="aa"/>
    <w:next w:val="aa"/>
    <w:link w:val="ad"/>
    <w:uiPriority w:val="99"/>
    <w:semiHidden/>
    <w:unhideWhenUsed/>
    <w:rsid w:val="00F37E3C"/>
    <w:rPr>
      <w:b/>
      <w:bCs/>
    </w:rPr>
  </w:style>
  <w:style w:type="character" w:customStyle="1" w:styleId="ad">
    <w:name w:val="註解主旨 字元"/>
    <w:basedOn w:val="ab"/>
    <w:link w:val="ac"/>
    <w:uiPriority w:val="99"/>
    <w:semiHidden/>
    <w:rsid w:val="00F37E3C"/>
    <w:rPr>
      <w:b/>
      <w:bCs/>
      <w:sz w:val="20"/>
      <w:szCs w:val="20"/>
    </w:rPr>
  </w:style>
  <w:style w:type="paragraph" w:styleId="ae">
    <w:name w:val="Revision"/>
    <w:hidden/>
    <w:uiPriority w:val="99"/>
    <w:semiHidden/>
    <w:rsid w:val="00F3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5336-39CD-4E70-82A9-100D74EC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Chau</dc:creator>
  <cp:keywords/>
  <dc:description/>
  <cp:lastModifiedBy>Simon Chau</cp:lastModifiedBy>
  <cp:revision>4</cp:revision>
  <cp:lastPrinted>2020-03-13T04:02:00Z</cp:lastPrinted>
  <dcterms:created xsi:type="dcterms:W3CDTF">2022-01-24T09:33:00Z</dcterms:created>
  <dcterms:modified xsi:type="dcterms:W3CDTF">2022-01-24T14:08:00Z</dcterms:modified>
</cp:coreProperties>
</file>