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BAB6" w14:textId="008E677B" w:rsidR="00AF1A90" w:rsidRDefault="00000000">
      <w:pPr>
        <w:spacing w:before="72"/>
        <w:ind w:left="119" w:right="121"/>
        <w:jc w:val="both"/>
        <w:rPr>
          <w:rFonts w:eastAsia="宋体"/>
          <w:i/>
          <w:sz w:val="24"/>
          <w:lang w:eastAsia="zh-CN"/>
        </w:rPr>
      </w:pPr>
      <w:r>
        <w:rPr>
          <w:i/>
          <w:color w:val="221F1F"/>
          <w:sz w:val="24"/>
        </w:rPr>
        <w:t>Hong Kong Exchanges and Clearing Limited and The Stock Exchange of Hong Kong Limited</w:t>
      </w:r>
      <w:r w:rsidR="00CA257D">
        <w:rPr>
          <w:i/>
          <w:color w:val="221F1F"/>
          <w:sz w:val="24"/>
        </w:rPr>
        <w:t xml:space="preserve"> (the “</w:t>
      </w:r>
      <w:r w:rsidR="00CA257D" w:rsidRPr="00E07C9E">
        <w:rPr>
          <w:b/>
          <w:bCs/>
          <w:i/>
          <w:color w:val="221F1F"/>
          <w:sz w:val="24"/>
        </w:rPr>
        <w:t>Stock Exchange</w:t>
      </w:r>
      <w:r w:rsidR="00CA257D">
        <w:rPr>
          <w:i/>
          <w:color w:val="221F1F"/>
          <w:sz w:val="24"/>
        </w:rPr>
        <w:t>”)</w:t>
      </w:r>
      <w:r>
        <w:rPr>
          <w:i/>
          <w:color w:val="221F1F"/>
          <w:sz w:val="24"/>
        </w:rPr>
        <w:t xml:space="preserve">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Pr>
          <w:rFonts w:eastAsia="宋体" w:hint="eastAsia"/>
          <w:i/>
          <w:color w:val="221F1F"/>
          <w:sz w:val="24"/>
          <w:lang w:eastAsia="zh-CN"/>
        </w:rPr>
        <w:t>.</w:t>
      </w:r>
    </w:p>
    <w:p w14:paraId="0B7BCC42" w14:textId="77777777" w:rsidR="00AF1A90" w:rsidRDefault="00AF1A90">
      <w:pPr>
        <w:pStyle w:val="a3"/>
        <w:rPr>
          <w:i/>
          <w:sz w:val="20"/>
        </w:rPr>
      </w:pPr>
    </w:p>
    <w:p w14:paraId="2757C86F" w14:textId="77777777" w:rsidR="00AF1A90" w:rsidRDefault="00000000">
      <w:pPr>
        <w:pStyle w:val="a3"/>
        <w:spacing w:before="3"/>
        <w:rPr>
          <w:i/>
          <w:sz w:val="26"/>
        </w:rPr>
      </w:pPr>
      <w:r>
        <w:rPr>
          <w:noProof/>
        </w:rPr>
        <w:drawing>
          <wp:anchor distT="0" distB="0" distL="0" distR="0" simplePos="0" relativeHeight="251659264" behindDoc="0" locked="0" layoutInCell="1" allowOverlap="1" wp14:anchorId="5534216B" wp14:editId="4BF2DCDD">
            <wp:simplePos x="0" y="0"/>
            <wp:positionH relativeFrom="page">
              <wp:posOffset>3003550</wp:posOffset>
            </wp:positionH>
            <wp:positionV relativeFrom="paragraph">
              <wp:posOffset>216535</wp:posOffset>
            </wp:positionV>
            <wp:extent cx="1466850" cy="8096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466850" cy="809625"/>
                    </a:xfrm>
                    <a:prstGeom prst="rect">
                      <a:avLst/>
                    </a:prstGeom>
                  </pic:spPr>
                </pic:pic>
              </a:graphicData>
            </a:graphic>
          </wp:anchor>
        </w:drawing>
      </w:r>
    </w:p>
    <w:p w14:paraId="6DB11699" w14:textId="77777777" w:rsidR="00AF1A90" w:rsidRDefault="00000000">
      <w:pPr>
        <w:spacing w:before="216" w:line="339" w:lineRule="exact"/>
        <w:ind w:left="642" w:right="642"/>
        <w:jc w:val="center"/>
        <w:rPr>
          <w:b/>
          <w:sz w:val="28"/>
        </w:rPr>
      </w:pPr>
      <w:r>
        <w:rPr>
          <w:b/>
          <w:sz w:val="36"/>
        </w:rPr>
        <w:t>China Health Group Inc</w:t>
      </w:r>
      <w:r>
        <w:rPr>
          <w:b/>
          <w:sz w:val="28"/>
        </w:rPr>
        <w:t>.</w:t>
      </w:r>
    </w:p>
    <w:p w14:paraId="3DBCE857" w14:textId="77777777" w:rsidR="00AF1A90" w:rsidRDefault="00000000">
      <w:pPr>
        <w:pStyle w:val="1"/>
        <w:spacing w:line="395" w:lineRule="exact"/>
        <w:ind w:left="641"/>
        <w:rPr>
          <w:rFonts w:ascii="Malgun Gothic" w:eastAsia="Malgun Gothic"/>
        </w:rPr>
      </w:pPr>
      <w:proofErr w:type="spellStart"/>
      <w:r>
        <w:rPr>
          <w:rFonts w:ascii="Malgun Gothic" w:eastAsia="Malgun Gothic" w:hint="eastAsia"/>
        </w:rPr>
        <w:t>中國醫療集團有限公司</w:t>
      </w:r>
      <w:proofErr w:type="spellEnd"/>
    </w:p>
    <w:p w14:paraId="132A15B8" w14:textId="77777777" w:rsidR="00AF1A90" w:rsidRDefault="00000000">
      <w:pPr>
        <w:pStyle w:val="a3"/>
        <w:spacing w:line="288" w:lineRule="exact"/>
        <w:ind w:left="642" w:right="642"/>
        <w:jc w:val="center"/>
      </w:pPr>
      <w:r>
        <w:t>(Carrying</w:t>
      </w:r>
      <w:r>
        <w:rPr>
          <w:spacing w:val="-4"/>
        </w:rPr>
        <w:t xml:space="preserve"> </w:t>
      </w:r>
      <w:r>
        <w:t>on</w:t>
      </w:r>
      <w:r>
        <w:rPr>
          <w:spacing w:val="-1"/>
        </w:rPr>
        <w:t xml:space="preserve"> </w:t>
      </w:r>
      <w:r>
        <w:t>business</w:t>
      </w:r>
      <w:r>
        <w:rPr>
          <w:spacing w:val="-2"/>
        </w:rPr>
        <w:t xml:space="preserve"> </w:t>
      </w:r>
      <w:r>
        <w:t>in</w:t>
      </w:r>
      <w:r>
        <w:rPr>
          <w:spacing w:val="2"/>
        </w:rPr>
        <w:t xml:space="preserve"> </w:t>
      </w:r>
      <w:r>
        <w:t>Hong</w:t>
      </w:r>
      <w:r>
        <w:rPr>
          <w:spacing w:val="-4"/>
        </w:rPr>
        <w:t xml:space="preserve"> </w:t>
      </w:r>
      <w:r>
        <w:t>Kong</w:t>
      </w:r>
      <w:r>
        <w:rPr>
          <w:spacing w:val="-2"/>
        </w:rPr>
        <w:t xml:space="preserve"> </w:t>
      </w:r>
      <w:r>
        <w:t>as</w:t>
      </w:r>
      <w:r>
        <w:rPr>
          <w:spacing w:val="-1"/>
        </w:rPr>
        <w:t xml:space="preserve"> “</w:t>
      </w:r>
      <w:proofErr w:type="spellStart"/>
      <w:r>
        <w:rPr>
          <w:rFonts w:ascii="PMingLiU" w:eastAsia="PMingLiU" w:hAnsi="PMingLiU" w:hint="eastAsia"/>
        </w:rPr>
        <w:t>萬全醫療集團</w:t>
      </w:r>
      <w:proofErr w:type="spellEnd"/>
      <w:r>
        <w:t>”)</w:t>
      </w:r>
    </w:p>
    <w:p w14:paraId="508FEB97" w14:textId="77777777" w:rsidR="00AF1A90" w:rsidRDefault="00000000">
      <w:pPr>
        <w:spacing w:line="266" w:lineRule="exact"/>
        <w:ind w:left="642" w:right="642"/>
        <w:jc w:val="center"/>
        <w:rPr>
          <w:i/>
          <w:sz w:val="24"/>
        </w:rPr>
      </w:pPr>
      <w:r>
        <w:rPr>
          <w:i/>
          <w:sz w:val="24"/>
        </w:rPr>
        <w:t>(Incorporated in the Cayman Islands with limited</w:t>
      </w:r>
      <w:r>
        <w:rPr>
          <w:i/>
          <w:spacing w:val="-11"/>
          <w:sz w:val="24"/>
        </w:rPr>
        <w:t xml:space="preserve"> </w:t>
      </w:r>
      <w:r>
        <w:rPr>
          <w:i/>
          <w:sz w:val="24"/>
        </w:rPr>
        <w:t>liability)</w:t>
      </w:r>
    </w:p>
    <w:p w14:paraId="3C4DDF17" w14:textId="77777777" w:rsidR="00AF1A90" w:rsidRDefault="00000000">
      <w:pPr>
        <w:spacing w:before="43"/>
        <w:ind w:left="645" w:right="642"/>
        <w:jc w:val="center"/>
        <w:rPr>
          <w:b/>
        </w:rPr>
      </w:pPr>
      <w:r>
        <w:rPr>
          <w:b/>
        </w:rPr>
        <w:t>(Stock Code: 08225)</w:t>
      </w:r>
    </w:p>
    <w:p w14:paraId="12744A07" w14:textId="77777777" w:rsidR="00AF1A90" w:rsidRDefault="00AF1A90">
      <w:pPr>
        <w:pStyle w:val="a3"/>
        <w:spacing w:before="1"/>
        <w:rPr>
          <w:b/>
          <w:sz w:val="23"/>
        </w:rPr>
      </w:pPr>
    </w:p>
    <w:p w14:paraId="2A31258B" w14:textId="77777777" w:rsidR="006D2D1F" w:rsidRDefault="00000000" w:rsidP="006D2D1F">
      <w:pPr>
        <w:pStyle w:val="1"/>
        <w:ind w:left="0" w:right="0"/>
        <w:rPr>
          <w:color w:val="221F1F"/>
        </w:rPr>
      </w:pPr>
      <w:r>
        <w:rPr>
          <w:color w:val="221F1F"/>
        </w:rPr>
        <w:t xml:space="preserve">CHANGE OF COMPANY SECRETARY </w:t>
      </w:r>
    </w:p>
    <w:p w14:paraId="1248ABC3" w14:textId="61558DE3" w:rsidR="00AF1A90" w:rsidRDefault="00000000" w:rsidP="006D2D1F">
      <w:pPr>
        <w:pStyle w:val="1"/>
        <w:ind w:left="0" w:right="0"/>
      </w:pPr>
      <w:r>
        <w:rPr>
          <w:color w:val="221F1F"/>
        </w:rPr>
        <w:t>AND</w:t>
      </w:r>
    </w:p>
    <w:p w14:paraId="08F21AAE" w14:textId="77777777" w:rsidR="00AF1A90" w:rsidRDefault="00000000">
      <w:pPr>
        <w:spacing w:line="321" w:lineRule="exact"/>
        <w:ind w:left="629" w:right="642"/>
        <w:jc w:val="center"/>
        <w:rPr>
          <w:b/>
          <w:sz w:val="28"/>
        </w:rPr>
      </w:pPr>
      <w:r>
        <w:rPr>
          <w:b/>
          <w:color w:val="221F1F"/>
          <w:sz w:val="28"/>
        </w:rPr>
        <w:t>AUTHORISED REPRESENTATIVE</w:t>
      </w:r>
    </w:p>
    <w:p w14:paraId="092ABB44" w14:textId="77777777" w:rsidR="00C56F8C" w:rsidRDefault="00C56F8C" w:rsidP="00C56F8C">
      <w:pPr>
        <w:pStyle w:val="a3"/>
        <w:spacing w:before="1"/>
        <w:rPr>
          <w:sz w:val="30"/>
        </w:rPr>
      </w:pPr>
    </w:p>
    <w:p w14:paraId="4AF63996" w14:textId="7CFF4EE0" w:rsidR="00AF1A90" w:rsidRDefault="00000000">
      <w:pPr>
        <w:pStyle w:val="a3"/>
        <w:spacing w:before="267"/>
        <w:ind w:left="119" w:right="115"/>
        <w:jc w:val="both"/>
      </w:pPr>
      <w:r>
        <w:rPr>
          <w:color w:val="221F1F"/>
          <w:spacing w:val="4"/>
        </w:rPr>
        <w:t xml:space="preserve">The </w:t>
      </w:r>
      <w:r>
        <w:rPr>
          <w:rFonts w:eastAsia="宋体" w:hint="eastAsia"/>
          <w:color w:val="221F1F"/>
          <w:spacing w:val="4"/>
          <w:lang w:eastAsia="zh-CN"/>
        </w:rPr>
        <w:t>B</w:t>
      </w:r>
      <w:r>
        <w:rPr>
          <w:color w:val="221F1F"/>
          <w:spacing w:val="4"/>
        </w:rPr>
        <w:t>oard</w:t>
      </w:r>
      <w:r w:rsidR="00E6607F">
        <w:rPr>
          <w:color w:val="221F1F"/>
          <w:spacing w:val="4"/>
        </w:rPr>
        <w:t xml:space="preserve"> </w:t>
      </w:r>
      <w:r>
        <w:rPr>
          <w:color w:val="221F1F"/>
          <w:spacing w:val="3"/>
        </w:rPr>
        <w:t xml:space="preserve">of </w:t>
      </w:r>
      <w:r>
        <w:rPr>
          <w:color w:val="221F1F"/>
          <w:spacing w:val="5"/>
        </w:rPr>
        <w:t xml:space="preserve">directors </w:t>
      </w:r>
      <w:r w:rsidR="00CB3A91" w:rsidRPr="00CB3A91">
        <w:rPr>
          <w:color w:val="221F1F"/>
          <w:spacing w:val="5"/>
        </w:rPr>
        <w:t>(the “</w:t>
      </w:r>
      <w:r w:rsidR="00CB3A91" w:rsidRPr="00EC567B">
        <w:rPr>
          <w:b/>
          <w:bCs/>
          <w:color w:val="221F1F"/>
          <w:spacing w:val="5"/>
        </w:rPr>
        <w:t>Board</w:t>
      </w:r>
      <w:r w:rsidR="00CB3A91" w:rsidRPr="00CB3A91">
        <w:rPr>
          <w:color w:val="221F1F"/>
          <w:spacing w:val="5"/>
        </w:rPr>
        <w:t>”)</w:t>
      </w:r>
      <w:r w:rsidR="00616655">
        <w:rPr>
          <w:color w:val="221F1F"/>
          <w:spacing w:val="5"/>
        </w:rPr>
        <w:t xml:space="preserve"> </w:t>
      </w:r>
      <w:r>
        <w:rPr>
          <w:color w:val="221F1F"/>
          <w:spacing w:val="3"/>
        </w:rPr>
        <w:t xml:space="preserve">of </w:t>
      </w:r>
      <w:r>
        <w:rPr>
          <w:color w:val="221F1F"/>
        </w:rPr>
        <w:t xml:space="preserve">China Health Group Inc. </w:t>
      </w:r>
      <w:r>
        <w:rPr>
          <w:color w:val="221F1F"/>
          <w:spacing w:val="5"/>
        </w:rPr>
        <w:t>(</w:t>
      </w:r>
      <w:proofErr w:type="gramStart"/>
      <w:r>
        <w:rPr>
          <w:color w:val="221F1F"/>
          <w:spacing w:val="5"/>
        </w:rPr>
        <w:t>the  “</w:t>
      </w:r>
      <w:proofErr w:type="gramEnd"/>
      <w:r>
        <w:rPr>
          <w:b/>
          <w:color w:val="221F1F"/>
          <w:spacing w:val="5"/>
        </w:rPr>
        <w:t>Company</w:t>
      </w:r>
      <w:r>
        <w:rPr>
          <w:color w:val="221F1F"/>
          <w:spacing w:val="5"/>
        </w:rPr>
        <w:t xml:space="preserve">”)  </w:t>
      </w:r>
      <w:r>
        <w:rPr>
          <w:color w:val="221F1F"/>
          <w:spacing w:val="4"/>
        </w:rPr>
        <w:t xml:space="preserve">announces  that </w:t>
      </w:r>
      <w:r w:rsidR="00D87C1D" w:rsidRPr="00D87C1D">
        <w:rPr>
          <w:color w:val="221F1F"/>
          <w:spacing w:val="4"/>
        </w:rPr>
        <w:t>Mr. YU Tsz Ngo (“</w:t>
      </w:r>
      <w:r w:rsidR="00D87C1D" w:rsidRPr="00E77C61">
        <w:rPr>
          <w:b/>
          <w:bCs/>
          <w:color w:val="221F1F"/>
          <w:spacing w:val="4"/>
        </w:rPr>
        <w:t>Mr. Yu</w:t>
      </w:r>
      <w:r w:rsidR="00D87C1D" w:rsidRPr="00D87C1D">
        <w:rPr>
          <w:color w:val="221F1F"/>
          <w:spacing w:val="4"/>
        </w:rPr>
        <w:t xml:space="preserve">”) and Dr. SONG </w:t>
      </w:r>
      <w:proofErr w:type="spellStart"/>
      <w:r w:rsidR="00D87C1D" w:rsidRPr="00D87C1D">
        <w:rPr>
          <w:color w:val="221F1F"/>
          <w:spacing w:val="4"/>
        </w:rPr>
        <w:t>Xuemei</w:t>
      </w:r>
      <w:proofErr w:type="spellEnd"/>
      <w:r w:rsidR="00D87C1D" w:rsidRPr="00D87C1D">
        <w:rPr>
          <w:color w:val="221F1F"/>
          <w:spacing w:val="4"/>
        </w:rPr>
        <w:t xml:space="preserve"> (“</w:t>
      </w:r>
      <w:r w:rsidR="00D87C1D" w:rsidRPr="00E77C61">
        <w:rPr>
          <w:b/>
          <w:bCs/>
          <w:color w:val="221F1F"/>
          <w:spacing w:val="4"/>
        </w:rPr>
        <w:t>Dr. Song</w:t>
      </w:r>
      <w:r w:rsidR="00D87C1D" w:rsidRPr="00D87C1D">
        <w:rPr>
          <w:color w:val="221F1F"/>
          <w:spacing w:val="4"/>
        </w:rPr>
        <w:t xml:space="preserve">”) have been appointed as </w:t>
      </w:r>
      <w:r w:rsidR="00616655" w:rsidRPr="00D87C1D">
        <w:rPr>
          <w:color w:val="221F1F"/>
        </w:rPr>
        <w:t>the company secretary (the “</w:t>
      </w:r>
      <w:r w:rsidR="00616655" w:rsidRPr="00E77C61">
        <w:rPr>
          <w:b/>
          <w:bCs/>
          <w:color w:val="221F1F"/>
        </w:rPr>
        <w:t>Company Secretary</w:t>
      </w:r>
      <w:r w:rsidR="00616655" w:rsidRPr="00D87C1D">
        <w:rPr>
          <w:color w:val="221F1F"/>
        </w:rPr>
        <w:t xml:space="preserve">”) </w:t>
      </w:r>
      <w:r w:rsidR="00D87C1D" w:rsidRPr="00D87C1D">
        <w:rPr>
          <w:color w:val="221F1F"/>
          <w:spacing w:val="4"/>
        </w:rPr>
        <w:t xml:space="preserve">and </w:t>
      </w:r>
      <w:r w:rsidR="00616655" w:rsidRPr="00D87C1D">
        <w:rPr>
          <w:color w:val="221F1F"/>
        </w:rPr>
        <w:t>the authorized representative of the Company (the “</w:t>
      </w:r>
      <w:proofErr w:type="spellStart"/>
      <w:r w:rsidR="00616655" w:rsidRPr="00E77C61">
        <w:rPr>
          <w:b/>
          <w:bCs/>
          <w:color w:val="221F1F"/>
        </w:rPr>
        <w:t>Authorised</w:t>
      </w:r>
      <w:proofErr w:type="spellEnd"/>
      <w:r w:rsidR="00616655" w:rsidRPr="00E77C61">
        <w:rPr>
          <w:b/>
          <w:bCs/>
          <w:color w:val="221F1F"/>
        </w:rPr>
        <w:t xml:space="preserve"> Representative</w:t>
      </w:r>
      <w:r w:rsidR="00616655" w:rsidRPr="00D87C1D">
        <w:rPr>
          <w:color w:val="221F1F"/>
        </w:rPr>
        <w:t>”)</w:t>
      </w:r>
      <w:r w:rsidR="00D87C1D" w:rsidRPr="00D87C1D">
        <w:rPr>
          <w:color w:val="221F1F"/>
          <w:spacing w:val="4"/>
        </w:rPr>
        <w:t>, respectively, with effect from 1 September 2022.</w:t>
      </w:r>
    </w:p>
    <w:p w14:paraId="630C080E" w14:textId="77777777" w:rsidR="00AF1A90" w:rsidRDefault="00AF1A90">
      <w:pPr>
        <w:pStyle w:val="a3"/>
        <w:spacing w:before="1"/>
        <w:rPr>
          <w:sz w:val="30"/>
        </w:rPr>
      </w:pPr>
    </w:p>
    <w:p w14:paraId="26CC4316" w14:textId="77777777" w:rsidR="00D87C1D" w:rsidRPr="00D87C1D" w:rsidRDefault="00D87C1D" w:rsidP="00D87C1D">
      <w:pPr>
        <w:pStyle w:val="a3"/>
        <w:spacing w:line="261" w:lineRule="auto"/>
        <w:ind w:left="119" w:right="223"/>
        <w:jc w:val="both"/>
        <w:rPr>
          <w:color w:val="221F1F"/>
        </w:rPr>
      </w:pPr>
      <w:r w:rsidRPr="00D87C1D">
        <w:rPr>
          <w:color w:val="221F1F"/>
        </w:rPr>
        <w:t>Mr. Yu, aged 37, has over 15 years of experience in the related fields of finance, auditing, accounting, corporate governance practices, and company secretarial matters. Mr. Yu obtained a bachelor’s degree of commerce (accounting and finance) and a master’s degree of applied finance from Monash University of Australia in December 2005 and December 2006, respectively. He is a member of the Certified Public Accountants Australia and a fellow member of the Hong Kong Institute of Certified Public Accountants. He is currently the executive director of Marksman Corporate Services Limited, a firm principally engaged in the provision of corporate secretarial services and a partner of IPA CPA Limited.</w:t>
      </w:r>
    </w:p>
    <w:p w14:paraId="05367B56" w14:textId="77777777" w:rsidR="00D87C1D" w:rsidRPr="00D87C1D" w:rsidRDefault="00D87C1D" w:rsidP="00D87C1D">
      <w:pPr>
        <w:pStyle w:val="a3"/>
        <w:spacing w:line="261" w:lineRule="auto"/>
        <w:ind w:left="119" w:right="223"/>
        <w:jc w:val="both"/>
        <w:rPr>
          <w:color w:val="221F1F"/>
        </w:rPr>
      </w:pPr>
    </w:p>
    <w:p w14:paraId="14AE768F" w14:textId="16264BA4" w:rsidR="00D87C1D" w:rsidRDefault="00D87C1D" w:rsidP="00D87C1D">
      <w:pPr>
        <w:pStyle w:val="a3"/>
        <w:spacing w:line="261" w:lineRule="auto"/>
        <w:ind w:left="119" w:right="223"/>
        <w:jc w:val="both"/>
        <w:rPr>
          <w:color w:val="221F1F"/>
        </w:rPr>
      </w:pPr>
      <w:r w:rsidRPr="00D87C1D">
        <w:rPr>
          <w:color w:val="221F1F"/>
        </w:rPr>
        <w:t xml:space="preserve">Dr. Song, aged 54, is an executive Director and the compliance officer the Company. Dr. Song is responsible for Clinical Research of the Company. Dr. Song graduated from China Concord Medical University with a Doctorate degree in clinical medicine in July 1995. She is also a Registered Pharmacist in the PRC. Prior to joining the Group in February 2000, Dr. Song had served as general manager of Beijing </w:t>
      </w:r>
      <w:proofErr w:type="spellStart"/>
      <w:r w:rsidRPr="00D87C1D">
        <w:rPr>
          <w:color w:val="221F1F"/>
        </w:rPr>
        <w:t>Tiancifu</w:t>
      </w:r>
      <w:proofErr w:type="spellEnd"/>
      <w:r w:rsidRPr="00D87C1D">
        <w:rPr>
          <w:color w:val="221F1F"/>
        </w:rPr>
        <w:t xml:space="preserve"> Biopharmaceutical Co. Ltd</w:t>
      </w:r>
      <w:r>
        <w:rPr>
          <w:color w:val="221F1F"/>
        </w:rPr>
        <w:t>.</w:t>
      </w:r>
    </w:p>
    <w:p w14:paraId="49E99978" w14:textId="77777777" w:rsidR="00AF1A90" w:rsidRDefault="00AF1A90">
      <w:pPr>
        <w:pStyle w:val="a3"/>
        <w:spacing w:before="3"/>
        <w:rPr>
          <w:sz w:val="25"/>
        </w:rPr>
      </w:pPr>
    </w:p>
    <w:p w14:paraId="21B17ED1" w14:textId="69380E8E" w:rsidR="00AF1A90" w:rsidRDefault="00000000">
      <w:pPr>
        <w:pStyle w:val="a3"/>
        <w:ind w:left="119" w:right="113"/>
        <w:jc w:val="both"/>
      </w:pPr>
      <w:r>
        <w:rPr>
          <w:color w:val="221F1F"/>
        </w:rPr>
        <w:lastRenderedPageBreak/>
        <w:t xml:space="preserve">The Board announces that </w:t>
      </w:r>
      <w:r w:rsidR="00D87C1D" w:rsidRPr="00D87C1D">
        <w:rPr>
          <w:color w:val="221F1F"/>
        </w:rPr>
        <w:t>due to the pursuing of other career opportunities, Ms. LAM Yuen Ling Eva (“</w:t>
      </w:r>
      <w:r w:rsidR="00D87C1D" w:rsidRPr="00E77C61">
        <w:rPr>
          <w:b/>
          <w:bCs/>
          <w:color w:val="221F1F"/>
        </w:rPr>
        <w:t>Ms. Lam</w:t>
      </w:r>
      <w:r w:rsidR="00D87C1D" w:rsidRPr="00D87C1D">
        <w:rPr>
          <w:color w:val="221F1F"/>
        </w:rPr>
        <w:t xml:space="preserve">”) has tendered her resignation as the </w:t>
      </w:r>
      <w:r w:rsidR="00616655">
        <w:rPr>
          <w:color w:val="221F1F"/>
        </w:rPr>
        <w:t>C</w:t>
      </w:r>
      <w:r w:rsidR="00D87C1D" w:rsidRPr="00D87C1D">
        <w:rPr>
          <w:color w:val="221F1F"/>
        </w:rPr>
        <w:t xml:space="preserve">ompany </w:t>
      </w:r>
      <w:r w:rsidR="00616655">
        <w:rPr>
          <w:color w:val="221F1F"/>
        </w:rPr>
        <w:t>S</w:t>
      </w:r>
      <w:r w:rsidR="00D87C1D" w:rsidRPr="00D87C1D">
        <w:rPr>
          <w:color w:val="221F1F"/>
        </w:rPr>
        <w:t xml:space="preserve">ecretary and she also ceased to act as the </w:t>
      </w:r>
      <w:r w:rsidR="00616655">
        <w:rPr>
          <w:color w:val="221F1F"/>
        </w:rPr>
        <w:t>A</w:t>
      </w:r>
      <w:r w:rsidR="00D87C1D" w:rsidRPr="00D87C1D">
        <w:rPr>
          <w:color w:val="221F1F"/>
        </w:rPr>
        <w:t>uthorized under the Rule 5.24 of the Rules Governing the Listing of Securities on GEM of the Stock Exchange (the “</w:t>
      </w:r>
      <w:r w:rsidR="00D87C1D" w:rsidRPr="00E77C61">
        <w:rPr>
          <w:b/>
          <w:bCs/>
          <w:color w:val="221F1F"/>
        </w:rPr>
        <w:t>GEM Listing Rules</w:t>
      </w:r>
      <w:r w:rsidR="00D87C1D" w:rsidRPr="00D87C1D">
        <w:rPr>
          <w:color w:val="221F1F"/>
        </w:rPr>
        <w:t>’) with effect from 1 September 2022.</w:t>
      </w:r>
    </w:p>
    <w:p w14:paraId="315AD2D2" w14:textId="77777777" w:rsidR="00AF1A90" w:rsidRDefault="00AF1A90">
      <w:pPr>
        <w:pStyle w:val="a3"/>
        <w:spacing w:before="1"/>
        <w:rPr>
          <w:sz w:val="31"/>
        </w:rPr>
      </w:pPr>
    </w:p>
    <w:p w14:paraId="20AA7C83" w14:textId="552D8C5E" w:rsidR="00015293" w:rsidRPr="00E07C9E" w:rsidRDefault="00D87C1D" w:rsidP="00E07C9E">
      <w:pPr>
        <w:pStyle w:val="a3"/>
        <w:spacing w:line="261" w:lineRule="auto"/>
        <w:ind w:left="119" w:right="116"/>
        <w:jc w:val="both"/>
        <w:rPr>
          <w:color w:val="221F1F"/>
        </w:rPr>
      </w:pPr>
      <w:r w:rsidRPr="00D87C1D">
        <w:rPr>
          <w:color w:val="221F1F"/>
        </w:rPr>
        <w:t>Ms. Lam confirmed that she has no disagreement with the Board and there are no circumstances related to her resignation which need to be brought to the attention of the Stock Exchange and the shareholders of the Company</w:t>
      </w:r>
      <w:r w:rsidR="00015293" w:rsidRPr="00E07C9E">
        <w:rPr>
          <w:color w:val="221F1F"/>
        </w:rPr>
        <w:t>.</w:t>
      </w:r>
    </w:p>
    <w:p w14:paraId="2257C740" w14:textId="77777777" w:rsidR="00AF1A90" w:rsidRPr="00E07C9E" w:rsidRDefault="00AF1A90" w:rsidP="00E07C9E">
      <w:pPr>
        <w:pStyle w:val="a3"/>
        <w:spacing w:line="261" w:lineRule="auto"/>
        <w:ind w:left="119" w:right="116"/>
        <w:jc w:val="both"/>
        <w:rPr>
          <w:color w:val="221F1F"/>
        </w:rPr>
      </w:pPr>
    </w:p>
    <w:p w14:paraId="1C83A457" w14:textId="25E045CD" w:rsidR="00AF1A90" w:rsidRPr="00E07C9E" w:rsidRDefault="00000000" w:rsidP="00E07C9E">
      <w:pPr>
        <w:pStyle w:val="a3"/>
        <w:spacing w:line="261" w:lineRule="auto"/>
        <w:ind w:left="119" w:right="116"/>
        <w:jc w:val="both"/>
        <w:rPr>
          <w:color w:val="221F1F"/>
        </w:rPr>
      </w:pPr>
      <w:r w:rsidRPr="00E07C9E">
        <w:rPr>
          <w:color w:val="221F1F"/>
        </w:rPr>
        <w:t xml:space="preserve">The Board would like to take this opportunity to thank Ms. Lam for her contribution to the Company during her tenure of service and welcome Mr. Yu and Dr. Song on their </w:t>
      </w:r>
      <w:r>
        <w:rPr>
          <w:color w:val="221F1F"/>
        </w:rPr>
        <w:t xml:space="preserve">new </w:t>
      </w:r>
      <w:r w:rsidRPr="00E07C9E">
        <w:rPr>
          <w:color w:val="221F1F"/>
        </w:rPr>
        <w:t>appointments.</w:t>
      </w:r>
    </w:p>
    <w:p w14:paraId="01445907" w14:textId="77777777" w:rsidR="00AF1A90" w:rsidRDefault="00AF1A90">
      <w:pPr>
        <w:pStyle w:val="a3"/>
        <w:spacing w:before="8"/>
        <w:rPr>
          <w:sz w:val="25"/>
        </w:rPr>
      </w:pPr>
    </w:p>
    <w:p w14:paraId="36181698" w14:textId="77777777" w:rsidR="00AF1A90" w:rsidRDefault="00000000" w:rsidP="00D40878">
      <w:pPr>
        <w:pStyle w:val="a3"/>
        <w:ind w:rightChars="250" w:right="550"/>
        <w:jc w:val="right"/>
      </w:pPr>
      <w:r>
        <w:rPr>
          <w:color w:val="221F1F"/>
        </w:rPr>
        <w:t>By Order of the Board</w:t>
      </w:r>
    </w:p>
    <w:p w14:paraId="55278FC6" w14:textId="77777777" w:rsidR="00AF1A90" w:rsidRDefault="00000000" w:rsidP="00D40878">
      <w:pPr>
        <w:pStyle w:val="2"/>
        <w:spacing w:before="8"/>
        <w:ind w:left="0" w:right="0"/>
        <w:jc w:val="right"/>
      </w:pPr>
      <w:r>
        <w:rPr>
          <w:color w:val="221F1F"/>
        </w:rPr>
        <w:t>CHINA HEALTH GROUP INC.</w:t>
      </w:r>
    </w:p>
    <w:p w14:paraId="69C379F7" w14:textId="77777777" w:rsidR="00AF1A90" w:rsidRDefault="00000000" w:rsidP="00D40878">
      <w:pPr>
        <w:spacing w:before="2" w:line="275" w:lineRule="exact"/>
        <w:ind w:rightChars="550" w:right="1210"/>
        <w:jc w:val="right"/>
        <w:rPr>
          <w:rFonts w:eastAsia="宋体"/>
          <w:b/>
          <w:sz w:val="24"/>
          <w:lang w:eastAsia="zh-CN"/>
        </w:rPr>
      </w:pPr>
      <w:r>
        <w:rPr>
          <w:rFonts w:eastAsia="宋体" w:hint="eastAsia"/>
          <w:b/>
          <w:color w:val="221F1F"/>
          <w:sz w:val="24"/>
          <w:lang w:eastAsia="zh-CN"/>
        </w:rPr>
        <w:t>Guo</w:t>
      </w:r>
      <w:r>
        <w:rPr>
          <w:b/>
          <w:color w:val="221F1F"/>
          <w:sz w:val="24"/>
        </w:rPr>
        <w:t xml:space="preserve"> Xi</w:t>
      </w:r>
      <w:r>
        <w:rPr>
          <w:rFonts w:eastAsia="宋体" w:hint="eastAsia"/>
          <w:b/>
          <w:color w:val="221F1F"/>
          <w:sz w:val="24"/>
          <w:lang w:eastAsia="zh-CN"/>
        </w:rPr>
        <w:t>a</w:t>
      </w:r>
    </w:p>
    <w:p w14:paraId="0B2AED2C" w14:textId="77777777" w:rsidR="00AF1A90" w:rsidRDefault="00000000" w:rsidP="00D40878">
      <w:pPr>
        <w:spacing w:line="275" w:lineRule="exact"/>
        <w:jc w:val="right"/>
        <w:rPr>
          <w:i/>
          <w:sz w:val="24"/>
        </w:rPr>
      </w:pPr>
      <w:r>
        <w:rPr>
          <w:rFonts w:eastAsia="宋体" w:hint="eastAsia"/>
          <w:i/>
          <w:sz w:val="24"/>
          <w:lang w:eastAsia="zh-CN"/>
        </w:rPr>
        <w:t xml:space="preserve">Chairman and </w:t>
      </w:r>
      <w:r>
        <w:rPr>
          <w:i/>
          <w:sz w:val="24"/>
        </w:rPr>
        <w:t>Executive Director</w:t>
      </w:r>
    </w:p>
    <w:p w14:paraId="08D96ECE" w14:textId="77777777" w:rsidR="00AF1A90" w:rsidRDefault="00AF1A90">
      <w:pPr>
        <w:pStyle w:val="a3"/>
        <w:spacing w:before="10"/>
        <w:rPr>
          <w:i/>
        </w:rPr>
      </w:pPr>
    </w:p>
    <w:p w14:paraId="187C82B2" w14:textId="77777777" w:rsidR="00AF1A90" w:rsidRDefault="00000000">
      <w:pPr>
        <w:pStyle w:val="a3"/>
        <w:ind w:left="229"/>
        <w:jc w:val="both"/>
        <w:rPr>
          <w:rFonts w:eastAsia="宋体"/>
          <w:lang w:eastAsia="zh-CN"/>
        </w:rPr>
      </w:pPr>
      <w:r>
        <w:rPr>
          <w:color w:val="221F1F"/>
        </w:rPr>
        <w:t xml:space="preserve">Hong Kong, </w:t>
      </w:r>
      <w:r>
        <w:rPr>
          <w:rFonts w:eastAsia="宋体" w:hint="eastAsia"/>
          <w:color w:val="221F1F"/>
          <w:lang w:eastAsia="zh-CN"/>
        </w:rPr>
        <w:t>1</w:t>
      </w:r>
      <w:r>
        <w:rPr>
          <w:color w:val="221F1F"/>
        </w:rPr>
        <w:t xml:space="preserve"> </w:t>
      </w:r>
      <w:r>
        <w:rPr>
          <w:rFonts w:eastAsia="宋体" w:hint="eastAsia"/>
          <w:color w:val="221F1F"/>
          <w:lang w:eastAsia="zh-CN"/>
        </w:rPr>
        <w:t>September</w:t>
      </w:r>
      <w:r>
        <w:rPr>
          <w:color w:val="221F1F"/>
        </w:rPr>
        <w:t xml:space="preserve"> 202</w:t>
      </w:r>
      <w:r>
        <w:rPr>
          <w:rFonts w:eastAsia="宋体" w:hint="eastAsia"/>
          <w:color w:val="221F1F"/>
          <w:lang w:eastAsia="zh-CN"/>
        </w:rPr>
        <w:t>2</w:t>
      </w:r>
    </w:p>
    <w:p w14:paraId="7BAEA06E" w14:textId="77777777" w:rsidR="00AF1A90" w:rsidRDefault="00AF1A90">
      <w:pPr>
        <w:pStyle w:val="a3"/>
        <w:spacing w:before="7"/>
      </w:pPr>
    </w:p>
    <w:p w14:paraId="754D9DE2" w14:textId="2CD6DE9B" w:rsidR="00AF1A90" w:rsidRDefault="00000000">
      <w:pPr>
        <w:spacing w:line="242" w:lineRule="auto"/>
        <w:ind w:left="229" w:right="240"/>
        <w:jc w:val="both"/>
        <w:rPr>
          <w:i/>
          <w:sz w:val="24"/>
        </w:rPr>
      </w:pPr>
      <w:r>
        <w:rPr>
          <w:i/>
          <w:color w:val="221F1F"/>
          <w:sz w:val="24"/>
        </w:rPr>
        <w:t xml:space="preserve">As at the date hereof, the Board comprises two executive Directors, being Mr. GUO Xia </w:t>
      </w:r>
      <w:r w:rsidR="006531E1">
        <w:rPr>
          <w:i/>
          <w:color w:val="221F1F"/>
          <w:sz w:val="24"/>
        </w:rPr>
        <w:t xml:space="preserve">(Chairman) </w:t>
      </w:r>
      <w:r>
        <w:rPr>
          <w:i/>
          <w:color w:val="221F1F"/>
          <w:sz w:val="24"/>
        </w:rPr>
        <w:t xml:space="preserve">and Dr. SONG </w:t>
      </w:r>
      <w:proofErr w:type="spellStart"/>
      <w:r>
        <w:rPr>
          <w:i/>
          <w:color w:val="221F1F"/>
          <w:sz w:val="24"/>
        </w:rPr>
        <w:t>Xuemei</w:t>
      </w:r>
      <w:proofErr w:type="spellEnd"/>
      <w:r>
        <w:rPr>
          <w:i/>
          <w:color w:val="221F1F"/>
          <w:sz w:val="24"/>
        </w:rPr>
        <w:t>; one non-executive Director, being M</w:t>
      </w:r>
      <w:r>
        <w:rPr>
          <w:rFonts w:eastAsia="宋体" w:hint="eastAsia"/>
          <w:i/>
          <w:color w:val="221F1F"/>
          <w:sz w:val="24"/>
          <w:lang w:eastAsia="zh-CN"/>
        </w:rPr>
        <w:t>s</w:t>
      </w:r>
      <w:r>
        <w:rPr>
          <w:i/>
          <w:color w:val="221F1F"/>
          <w:sz w:val="24"/>
        </w:rPr>
        <w:t xml:space="preserve">. </w:t>
      </w:r>
      <w:r>
        <w:rPr>
          <w:rFonts w:eastAsia="宋体" w:hint="eastAsia"/>
          <w:i/>
          <w:color w:val="221F1F"/>
          <w:sz w:val="24"/>
          <w:lang w:eastAsia="zh-CN"/>
        </w:rPr>
        <w:t>ZHANG</w:t>
      </w:r>
      <w:r>
        <w:rPr>
          <w:i/>
          <w:color w:val="221F1F"/>
          <w:sz w:val="24"/>
        </w:rPr>
        <w:t xml:space="preserve"> </w:t>
      </w:r>
      <w:r>
        <w:rPr>
          <w:rFonts w:eastAsia="宋体" w:hint="eastAsia"/>
          <w:i/>
          <w:color w:val="221F1F"/>
          <w:sz w:val="24"/>
          <w:lang w:eastAsia="zh-CN"/>
        </w:rPr>
        <w:t>L</w:t>
      </w:r>
      <w:r>
        <w:rPr>
          <w:i/>
          <w:color w:val="221F1F"/>
          <w:sz w:val="24"/>
        </w:rPr>
        <w:t xml:space="preserve">i; and three independent non-executive Directors, being Mr. QIU Rui, Dr. NI </w:t>
      </w:r>
      <w:proofErr w:type="spellStart"/>
      <w:r>
        <w:rPr>
          <w:i/>
          <w:color w:val="221F1F"/>
          <w:sz w:val="24"/>
        </w:rPr>
        <w:t>Binhui</w:t>
      </w:r>
      <w:proofErr w:type="spellEnd"/>
      <w:r>
        <w:rPr>
          <w:i/>
          <w:color w:val="221F1F"/>
          <w:sz w:val="24"/>
        </w:rPr>
        <w:t xml:space="preserve"> and Mr. ZHEN Ling.</w:t>
      </w:r>
    </w:p>
    <w:p w14:paraId="3DAEE61B" w14:textId="77777777" w:rsidR="00AF1A90" w:rsidRDefault="00AF1A90">
      <w:pPr>
        <w:pStyle w:val="a3"/>
        <w:spacing w:before="4"/>
        <w:rPr>
          <w:i/>
        </w:rPr>
      </w:pPr>
    </w:p>
    <w:p w14:paraId="79BE6F26" w14:textId="77777777" w:rsidR="00AF1A90" w:rsidRDefault="00000000">
      <w:pPr>
        <w:spacing w:line="242" w:lineRule="auto"/>
        <w:ind w:left="229" w:right="243"/>
        <w:jc w:val="both"/>
        <w:rPr>
          <w:i/>
          <w:sz w:val="24"/>
        </w:rPr>
      </w:pPr>
      <w:r>
        <w:rPr>
          <w:i/>
          <w:color w:val="221F1F"/>
          <w:sz w:val="24"/>
        </w:rPr>
        <w:t>This</w:t>
      </w:r>
      <w:r>
        <w:rPr>
          <w:i/>
          <w:color w:val="221F1F"/>
          <w:spacing w:val="-6"/>
          <w:sz w:val="24"/>
        </w:rPr>
        <w:t xml:space="preserve"> </w:t>
      </w:r>
      <w:r>
        <w:rPr>
          <w:i/>
          <w:color w:val="221F1F"/>
          <w:spacing w:val="-3"/>
          <w:sz w:val="24"/>
        </w:rPr>
        <w:t>announcement,</w:t>
      </w:r>
      <w:r>
        <w:rPr>
          <w:i/>
          <w:color w:val="221F1F"/>
          <w:spacing w:val="-5"/>
          <w:sz w:val="24"/>
        </w:rPr>
        <w:t xml:space="preserve"> </w:t>
      </w:r>
      <w:r>
        <w:rPr>
          <w:i/>
          <w:color w:val="221F1F"/>
          <w:sz w:val="24"/>
        </w:rPr>
        <w:t>for</w:t>
      </w:r>
      <w:r>
        <w:rPr>
          <w:i/>
          <w:color w:val="221F1F"/>
          <w:spacing w:val="-4"/>
          <w:sz w:val="24"/>
        </w:rPr>
        <w:t xml:space="preserve"> </w:t>
      </w:r>
      <w:r>
        <w:rPr>
          <w:i/>
          <w:color w:val="221F1F"/>
          <w:spacing w:val="-3"/>
          <w:sz w:val="24"/>
        </w:rPr>
        <w:t>which</w:t>
      </w:r>
      <w:r>
        <w:rPr>
          <w:i/>
          <w:color w:val="221F1F"/>
          <w:spacing w:val="-6"/>
          <w:sz w:val="24"/>
        </w:rPr>
        <w:t xml:space="preserve"> </w:t>
      </w:r>
      <w:r>
        <w:rPr>
          <w:i/>
          <w:color w:val="221F1F"/>
          <w:sz w:val="24"/>
        </w:rPr>
        <w:t>the</w:t>
      </w:r>
      <w:r>
        <w:rPr>
          <w:i/>
          <w:color w:val="221F1F"/>
          <w:spacing w:val="-7"/>
          <w:sz w:val="24"/>
        </w:rPr>
        <w:t xml:space="preserve"> </w:t>
      </w:r>
      <w:r>
        <w:rPr>
          <w:i/>
          <w:color w:val="221F1F"/>
          <w:sz w:val="24"/>
        </w:rPr>
        <w:t>Directors</w:t>
      </w:r>
      <w:r>
        <w:rPr>
          <w:i/>
          <w:color w:val="221F1F"/>
          <w:spacing w:val="-6"/>
          <w:sz w:val="24"/>
        </w:rPr>
        <w:t xml:space="preserve"> </w:t>
      </w:r>
      <w:r>
        <w:rPr>
          <w:i/>
          <w:color w:val="221F1F"/>
          <w:sz w:val="24"/>
        </w:rPr>
        <w:t>collectively</w:t>
      </w:r>
      <w:r>
        <w:rPr>
          <w:i/>
          <w:color w:val="221F1F"/>
          <w:spacing w:val="-7"/>
          <w:sz w:val="24"/>
        </w:rPr>
        <w:t xml:space="preserve"> </w:t>
      </w:r>
      <w:r>
        <w:rPr>
          <w:i/>
          <w:color w:val="221F1F"/>
          <w:sz w:val="24"/>
        </w:rPr>
        <w:t>and</w:t>
      </w:r>
      <w:r>
        <w:rPr>
          <w:i/>
          <w:color w:val="221F1F"/>
          <w:spacing w:val="-6"/>
          <w:sz w:val="24"/>
        </w:rPr>
        <w:t xml:space="preserve"> </w:t>
      </w:r>
      <w:r>
        <w:rPr>
          <w:i/>
          <w:color w:val="221F1F"/>
          <w:spacing w:val="-2"/>
          <w:sz w:val="24"/>
        </w:rPr>
        <w:t>individually</w:t>
      </w:r>
      <w:r>
        <w:rPr>
          <w:i/>
          <w:color w:val="221F1F"/>
          <w:spacing w:val="-7"/>
          <w:sz w:val="24"/>
        </w:rPr>
        <w:t xml:space="preserve"> </w:t>
      </w:r>
      <w:r>
        <w:rPr>
          <w:i/>
          <w:color w:val="221F1F"/>
          <w:sz w:val="24"/>
        </w:rPr>
        <w:t>accept</w:t>
      </w:r>
      <w:r>
        <w:rPr>
          <w:i/>
          <w:color w:val="221F1F"/>
          <w:spacing w:val="-5"/>
          <w:sz w:val="24"/>
        </w:rPr>
        <w:t xml:space="preserve"> </w:t>
      </w:r>
      <w:r>
        <w:rPr>
          <w:i/>
          <w:color w:val="221F1F"/>
          <w:sz w:val="24"/>
        </w:rPr>
        <w:t>full</w:t>
      </w:r>
      <w:r>
        <w:rPr>
          <w:i/>
          <w:color w:val="221F1F"/>
          <w:spacing w:val="-6"/>
          <w:sz w:val="24"/>
        </w:rPr>
        <w:t xml:space="preserve"> </w:t>
      </w:r>
      <w:r>
        <w:rPr>
          <w:i/>
          <w:color w:val="221F1F"/>
          <w:spacing w:val="-3"/>
          <w:sz w:val="24"/>
        </w:rPr>
        <w:t>responsibility,</w:t>
      </w:r>
      <w:r>
        <w:rPr>
          <w:i/>
          <w:color w:val="221F1F"/>
          <w:spacing w:val="-6"/>
          <w:sz w:val="24"/>
        </w:rPr>
        <w:t xml:space="preserve"> </w:t>
      </w:r>
      <w:r>
        <w:rPr>
          <w:i/>
          <w:color w:val="221F1F"/>
          <w:sz w:val="24"/>
        </w:rPr>
        <w:t xml:space="preserve">includes </w:t>
      </w:r>
      <w:r>
        <w:rPr>
          <w:i/>
          <w:color w:val="221F1F"/>
          <w:spacing w:val="-3"/>
          <w:sz w:val="24"/>
        </w:rPr>
        <w:t xml:space="preserve">particulars </w:t>
      </w:r>
      <w:r>
        <w:rPr>
          <w:i/>
          <w:color w:val="221F1F"/>
          <w:sz w:val="24"/>
        </w:rPr>
        <w:t xml:space="preserve">given in </w:t>
      </w:r>
      <w:r>
        <w:rPr>
          <w:i/>
          <w:color w:val="221F1F"/>
          <w:spacing w:val="-3"/>
          <w:sz w:val="24"/>
        </w:rPr>
        <w:t xml:space="preserve">compliance </w:t>
      </w:r>
      <w:r>
        <w:rPr>
          <w:i/>
          <w:color w:val="221F1F"/>
          <w:sz w:val="24"/>
        </w:rPr>
        <w:t xml:space="preserve">with the GEM Listing </w:t>
      </w:r>
      <w:r>
        <w:rPr>
          <w:i/>
          <w:color w:val="221F1F"/>
          <w:spacing w:val="-3"/>
          <w:sz w:val="24"/>
        </w:rPr>
        <w:t xml:space="preserve">Rules </w:t>
      </w:r>
      <w:r>
        <w:rPr>
          <w:i/>
          <w:color w:val="221F1F"/>
          <w:sz w:val="24"/>
        </w:rPr>
        <w:t xml:space="preserve">for the </w:t>
      </w:r>
      <w:r>
        <w:rPr>
          <w:i/>
          <w:color w:val="221F1F"/>
          <w:spacing w:val="-3"/>
          <w:sz w:val="24"/>
        </w:rPr>
        <w:t xml:space="preserve">purpose </w:t>
      </w:r>
      <w:r>
        <w:rPr>
          <w:i/>
          <w:color w:val="221F1F"/>
          <w:sz w:val="24"/>
        </w:rPr>
        <w:t xml:space="preserve">of giving </w:t>
      </w:r>
      <w:r>
        <w:rPr>
          <w:i/>
          <w:color w:val="221F1F"/>
          <w:spacing w:val="-3"/>
          <w:sz w:val="24"/>
        </w:rPr>
        <w:t xml:space="preserve">information </w:t>
      </w:r>
      <w:r>
        <w:rPr>
          <w:i/>
          <w:color w:val="221F1F"/>
          <w:sz w:val="24"/>
        </w:rPr>
        <w:t xml:space="preserve">with </w:t>
      </w:r>
      <w:r>
        <w:rPr>
          <w:i/>
          <w:color w:val="221F1F"/>
          <w:spacing w:val="-3"/>
          <w:sz w:val="24"/>
        </w:rPr>
        <w:t xml:space="preserve">regard </w:t>
      </w:r>
      <w:r>
        <w:rPr>
          <w:i/>
          <w:color w:val="221F1F"/>
          <w:sz w:val="24"/>
        </w:rPr>
        <w:t xml:space="preserve">to the </w:t>
      </w:r>
      <w:r>
        <w:rPr>
          <w:i/>
          <w:color w:val="221F1F"/>
          <w:spacing w:val="-3"/>
          <w:sz w:val="24"/>
        </w:rPr>
        <w:t xml:space="preserve">Company. </w:t>
      </w:r>
      <w:r>
        <w:rPr>
          <w:i/>
          <w:color w:val="221F1F"/>
          <w:sz w:val="24"/>
        </w:rPr>
        <w:t xml:space="preserve">The Directors, having made all </w:t>
      </w:r>
      <w:r>
        <w:rPr>
          <w:i/>
          <w:color w:val="221F1F"/>
          <w:spacing w:val="-3"/>
          <w:sz w:val="24"/>
        </w:rPr>
        <w:t xml:space="preserve">reasonable enquiries, confirm </w:t>
      </w:r>
      <w:r>
        <w:rPr>
          <w:i/>
          <w:color w:val="221F1F"/>
          <w:sz w:val="24"/>
        </w:rPr>
        <w:t xml:space="preserve">that to the </w:t>
      </w:r>
      <w:r>
        <w:rPr>
          <w:i/>
          <w:color w:val="221F1F"/>
          <w:spacing w:val="-3"/>
          <w:sz w:val="24"/>
        </w:rPr>
        <w:t xml:space="preserve">best </w:t>
      </w:r>
      <w:r>
        <w:rPr>
          <w:i/>
          <w:color w:val="221F1F"/>
          <w:sz w:val="24"/>
        </w:rPr>
        <w:t xml:space="preserve">of </w:t>
      </w:r>
      <w:r>
        <w:rPr>
          <w:i/>
          <w:color w:val="221F1F"/>
          <w:spacing w:val="-3"/>
          <w:sz w:val="24"/>
        </w:rPr>
        <w:t xml:space="preserve">their </w:t>
      </w:r>
      <w:r>
        <w:rPr>
          <w:i/>
          <w:color w:val="221F1F"/>
          <w:sz w:val="24"/>
        </w:rPr>
        <w:t xml:space="preserve">knowledge and belief the </w:t>
      </w:r>
      <w:r>
        <w:rPr>
          <w:i/>
          <w:color w:val="221F1F"/>
          <w:spacing w:val="-3"/>
          <w:sz w:val="24"/>
        </w:rPr>
        <w:t xml:space="preserve">information </w:t>
      </w:r>
      <w:r>
        <w:rPr>
          <w:i/>
          <w:color w:val="221F1F"/>
          <w:sz w:val="24"/>
        </w:rPr>
        <w:t xml:space="preserve">contained in this announcement is </w:t>
      </w:r>
      <w:r>
        <w:rPr>
          <w:i/>
          <w:color w:val="221F1F"/>
          <w:spacing w:val="-3"/>
          <w:sz w:val="24"/>
        </w:rPr>
        <w:t xml:space="preserve">accurate </w:t>
      </w:r>
      <w:r>
        <w:rPr>
          <w:i/>
          <w:color w:val="221F1F"/>
          <w:sz w:val="24"/>
        </w:rPr>
        <w:t xml:space="preserve">and complete in all </w:t>
      </w:r>
      <w:r>
        <w:rPr>
          <w:i/>
          <w:color w:val="221F1F"/>
          <w:spacing w:val="-3"/>
          <w:sz w:val="24"/>
        </w:rPr>
        <w:t xml:space="preserve">material respects </w:t>
      </w:r>
      <w:r>
        <w:rPr>
          <w:i/>
          <w:color w:val="221F1F"/>
          <w:sz w:val="24"/>
        </w:rPr>
        <w:t xml:space="preserve">and not </w:t>
      </w:r>
      <w:r>
        <w:rPr>
          <w:i/>
          <w:color w:val="221F1F"/>
          <w:spacing w:val="-3"/>
          <w:sz w:val="24"/>
        </w:rPr>
        <w:t xml:space="preserve">misleading </w:t>
      </w:r>
      <w:r>
        <w:rPr>
          <w:i/>
          <w:color w:val="221F1F"/>
          <w:sz w:val="24"/>
        </w:rPr>
        <w:t xml:space="preserve">or deceptive, and there are no </w:t>
      </w:r>
      <w:r>
        <w:rPr>
          <w:i/>
          <w:color w:val="221F1F"/>
          <w:spacing w:val="-3"/>
          <w:sz w:val="24"/>
        </w:rPr>
        <w:t xml:space="preserve">other matters </w:t>
      </w:r>
      <w:r>
        <w:rPr>
          <w:i/>
          <w:color w:val="221F1F"/>
          <w:sz w:val="24"/>
        </w:rPr>
        <w:t xml:space="preserve">the omission of </w:t>
      </w:r>
      <w:r>
        <w:rPr>
          <w:i/>
          <w:color w:val="221F1F"/>
          <w:spacing w:val="-3"/>
          <w:sz w:val="24"/>
        </w:rPr>
        <w:t xml:space="preserve">which </w:t>
      </w:r>
      <w:r>
        <w:rPr>
          <w:i/>
          <w:color w:val="221F1F"/>
          <w:sz w:val="24"/>
        </w:rPr>
        <w:t xml:space="preserve">would make any </w:t>
      </w:r>
      <w:r>
        <w:rPr>
          <w:i/>
          <w:color w:val="221F1F"/>
          <w:spacing w:val="-2"/>
          <w:sz w:val="24"/>
        </w:rPr>
        <w:t xml:space="preserve">statement </w:t>
      </w:r>
      <w:r>
        <w:rPr>
          <w:i/>
          <w:color w:val="221F1F"/>
          <w:spacing w:val="-3"/>
          <w:sz w:val="24"/>
        </w:rPr>
        <w:t xml:space="preserve">herein </w:t>
      </w:r>
      <w:r>
        <w:rPr>
          <w:i/>
          <w:color w:val="221F1F"/>
          <w:sz w:val="24"/>
        </w:rPr>
        <w:t xml:space="preserve">or this </w:t>
      </w:r>
      <w:r>
        <w:rPr>
          <w:i/>
          <w:color w:val="221F1F"/>
          <w:spacing w:val="-3"/>
          <w:sz w:val="24"/>
        </w:rPr>
        <w:t>announcement</w:t>
      </w:r>
      <w:r>
        <w:rPr>
          <w:i/>
          <w:color w:val="221F1F"/>
          <w:spacing w:val="-30"/>
          <w:sz w:val="24"/>
        </w:rPr>
        <w:t xml:space="preserve"> </w:t>
      </w:r>
      <w:r>
        <w:rPr>
          <w:i/>
          <w:color w:val="221F1F"/>
          <w:spacing w:val="-3"/>
          <w:sz w:val="24"/>
        </w:rPr>
        <w:t>misleading.</w:t>
      </w:r>
    </w:p>
    <w:p w14:paraId="19BB00BD" w14:textId="77777777" w:rsidR="00AF1A90" w:rsidRDefault="00AF1A90">
      <w:pPr>
        <w:pStyle w:val="a3"/>
        <w:spacing w:before="8"/>
        <w:rPr>
          <w:i/>
        </w:rPr>
      </w:pPr>
    </w:p>
    <w:p w14:paraId="361816EC" w14:textId="77777777" w:rsidR="00AF1A90" w:rsidRDefault="00000000">
      <w:pPr>
        <w:spacing w:line="242" w:lineRule="auto"/>
        <w:ind w:left="229" w:right="239"/>
        <w:jc w:val="both"/>
        <w:rPr>
          <w:i/>
          <w:sz w:val="24"/>
        </w:rPr>
      </w:pPr>
      <w:r>
        <w:rPr>
          <w:i/>
          <w:color w:val="221F1F"/>
          <w:sz w:val="24"/>
        </w:rPr>
        <w:t xml:space="preserve">This </w:t>
      </w:r>
      <w:r>
        <w:rPr>
          <w:i/>
          <w:color w:val="221F1F"/>
          <w:spacing w:val="-3"/>
          <w:sz w:val="24"/>
        </w:rPr>
        <w:t xml:space="preserve">announcement </w:t>
      </w:r>
      <w:r>
        <w:rPr>
          <w:i/>
          <w:color w:val="221F1F"/>
          <w:sz w:val="24"/>
        </w:rPr>
        <w:t xml:space="preserve">will </w:t>
      </w:r>
      <w:r>
        <w:rPr>
          <w:i/>
          <w:color w:val="221F1F"/>
          <w:spacing w:val="-3"/>
          <w:sz w:val="24"/>
        </w:rPr>
        <w:t xml:space="preserve">remain </w:t>
      </w:r>
      <w:r>
        <w:rPr>
          <w:i/>
          <w:color w:val="221F1F"/>
          <w:sz w:val="24"/>
        </w:rPr>
        <w:t xml:space="preserve">on the </w:t>
      </w:r>
      <w:r>
        <w:rPr>
          <w:i/>
          <w:color w:val="221F1F"/>
          <w:spacing w:val="-3"/>
          <w:sz w:val="24"/>
        </w:rPr>
        <w:t xml:space="preserve">“Latest </w:t>
      </w:r>
      <w:r>
        <w:rPr>
          <w:i/>
          <w:color w:val="221F1F"/>
          <w:sz w:val="24"/>
        </w:rPr>
        <w:t xml:space="preserve">Listed Company Information” </w:t>
      </w:r>
      <w:r>
        <w:rPr>
          <w:i/>
          <w:color w:val="221F1F"/>
          <w:spacing w:val="-3"/>
          <w:sz w:val="24"/>
        </w:rPr>
        <w:t xml:space="preserve">page </w:t>
      </w:r>
      <w:r>
        <w:rPr>
          <w:i/>
          <w:color w:val="221F1F"/>
          <w:sz w:val="24"/>
        </w:rPr>
        <w:t>of the GEM website at</w:t>
      </w:r>
      <w:hyperlink r:id="rId7">
        <w:r>
          <w:rPr>
            <w:i/>
            <w:color w:val="221F1F"/>
            <w:sz w:val="24"/>
          </w:rPr>
          <w:t xml:space="preserve"> </w:t>
        </w:r>
        <w:r>
          <w:rPr>
            <w:i/>
            <w:color w:val="221F1F"/>
            <w:spacing w:val="-3"/>
            <w:sz w:val="24"/>
          </w:rPr>
          <w:t>http://www.hkgem.com</w:t>
        </w:r>
        <w:r>
          <w:rPr>
            <w:i/>
            <w:color w:val="221F1F"/>
            <w:spacing w:val="-6"/>
            <w:sz w:val="24"/>
          </w:rPr>
          <w:t xml:space="preserve"> </w:t>
        </w:r>
      </w:hyperlink>
      <w:r>
        <w:rPr>
          <w:i/>
          <w:color w:val="221F1F"/>
          <w:sz w:val="24"/>
        </w:rPr>
        <w:t>for</w:t>
      </w:r>
      <w:r>
        <w:rPr>
          <w:i/>
          <w:color w:val="221F1F"/>
          <w:spacing w:val="-5"/>
          <w:sz w:val="24"/>
        </w:rPr>
        <w:t xml:space="preserve"> </w:t>
      </w:r>
      <w:r>
        <w:rPr>
          <w:i/>
          <w:color w:val="221F1F"/>
          <w:sz w:val="24"/>
        </w:rPr>
        <w:t>7</w:t>
      </w:r>
      <w:r>
        <w:rPr>
          <w:i/>
          <w:color w:val="221F1F"/>
          <w:spacing w:val="-6"/>
          <w:sz w:val="24"/>
        </w:rPr>
        <w:t xml:space="preserve"> </w:t>
      </w:r>
      <w:r>
        <w:rPr>
          <w:i/>
          <w:color w:val="221F1F"/>
          <w:sz w:val="24"/>
        </w:rPr>
        <w:t>days</w:t>
      </w:r>
      <w:r>
        <w:rPr>
          <w:i/>
          <w:color w:val="221F1F"/>
          <w:spacing w:val="-5"/>
          <w:sz w:val="24"/>
        </w:rPr>
        <w:t xml:space="preserve"> </w:t>
      </w:r>
      <w:r>
        <w:rPr>
          <w:i/>
          <w:color w:val="221F1F"/>
          <w:sz w:val="24"/>
        </w:rPr>
        <w:t>from</w:t>
      </w:r>
      <w:r>
        <w:rPr>
          <w:i/>
          <w:color w:val="221F1F"/>
          <w:spacing w:val="-5"/>
          <w:sz w:val="24"/>
        </w:rPr>
        <w:t xml:space="preserve"> </w:t>
      </w:r>
      <w:r>
        <w:rPr>
          <w:i/>
          <w:color w:val="221F1F"/>
          <w:sz w:val="24"/>
        </w:rPr>
        <w:t>the</w:t>
      </w:r>
      <w:r>
        <w:rPr>
          <w:i/>
          <w:color w:val="221F1F"/>
          <w:spacing w:val="-5"/>
          <w:sz w:val="24"/>
        </w:rPr>
        <w:t xml:space="preserve"> </w:t>
      </w:r>
      <w:r>
        <w:rPr>
          <w:i/>
          <w:color w:val="221F1F"/>
          <w:sz w:val="24"/>
        </w:rPr>
        <w:t>date</w:t>
      </w:r>
      <w:r>
        <w:rPr>
          <w:i/>
          <w:color w:val="221F1F"/>
          <w:spacing w:val="-3"/>
          <w:sz w:val="24"/>
        </w:rPr>
        <w:t xml:space="preserve"> </w:t>
      </w:r>
      <w:r>
        <w:rPr>
          <w:i/>
          <w:color w:val="221F1F"/>
          <w:sz w:val="24"/>
        </w:rPr>
        <w:t>of</w:t>
      </w:r>
      <w:r>
        <w:rPr>
          <w:i/>
          <w:color w:val="221F1F"/>
          <w:spacing w:val="-5"/>
          <w:sz w:val="24"/>
        </w:rPr>
        <w:t xml:space="preserve"> </w:t>
      </w:r>
      <w:r>
        <w:rPr>
          <w:i/>
          <w:color w:val="221F1F"/>
          <w:sz w:val="24"/>
        </w:rPr>
        <w:t>its</w:t>
      </w:r>
      <w:r>
        <w:rPr>
          <w:i/>
          <w:color w:val="221F1F"/>
          <w:spacing w:val="-5"/>
          <w:sz w:val="24"/>
        </w:rPr>
        <w:t xml:space="preserve"> </w:t>
      </w:r>
      <w:r>
        <w:rPr>
          <w:i/>
          <w:color w:val="221F1F"/>
          <w:spacing w:val="-3"/>
          <w:sz w:val="24"/>
        </w:rPr>
        <w:t>p</w:t>
      </w:r>
      <w:r>
        <w:rPr>
          <w:rFonts w:eastAsia="宋体" w:hint="eastAsia"/>
          <w:i/>
          <w:color w:val="221F1F"/>
          <w:spacing w:val="-3"/>
          <w:sz w:val="24"/>
          <w:lang w:eastAsia="zh-CN"/>
        </w:rPr>
        <w:t>ublication</w:t>
      </w:r>
      <w:r>
        <w:rPr>
          <w:i/>
          <w:color w:val="221F1F"/>
          <w:spacing w:val="-3"/>
          <w:sz w:val="24"/>
        </w:rPr>
        <w:t xml:space="preserve">. </w:t>
      </w:r>
      <w:r>
        <w:rPr>
          <w:i/>
          <w:color w:val="221F1F"/>
          <w:sz w:val="24"/>
        </w:rPr>
        <w:t>This</w:t>
      </w:r>
      <w:r>
        <w:rPr>
          <w:i/>
          <w:color w:val="221F1F"/>
          <w:spacing w:val="-5"/>
          <w:sz w:val="24"/>
        </w:rPr>
        <w:t xml:space="preserve"> </w:t>
      </w:r>
      <w:r>
        <w:rPr>
          <w:i/>
          <w:color w:val="221F1F"/>
          <w:spacing w:val="-3"/>
          <w:sz w:val="24"/>
        </w:rPr>
        <w:t>announcement</w:t>
      </w:r>
      <w:r>
        <w:rPr>
          <w:i/>
          <w:color w:val="221F1F"/>
          <w:spacing w:val="-5"/>
          <w:sz w:val="24"/>
        </w:rPr>
        <w:t xml:space="preserve"> </w:t>
      </w:r>
      <w:r>
        <w:rPr>
          <w:i/>
          <w:color w:val="221F1F"/>
          <w:sz w:val="24"/>
        </w:rPr>
        <w:t>will</w:t>
      </w:r>
      <w:r>
        <w:rPr>
          <w:i/>
          <w:color w:val="221F1F"/>
          <w:spacing w:val="-2"/>
          <w:sz w:val="24"/>
        </w:rPr>
        <w:t xml:space="preserve"> </w:t>
      </w:r>
      <w:r>
        <w:rPr>
          <w:i/>
          <w:color w:val="221F1F"/>
          <w:sz w:val="24"/>
        </w:rPr>
        <w:t>also</w:t>
      </w:r>
      <w:r>
        <w:rPr>
          <w:i/>
          <w:color w:val="221F1F"/>
          <w:spacing w:val="-4"/>
          <w:sz w:val="24"/>
        </w:rPr>
        <w:t xml:space="preserve"> </w:t>
      </w:r>
      <w:r>
        <w:rPr>
          <w:i/>
          <w:color w:val="221F1F"/>
          <w:sz w:val="24"/>
        </w:rPr>
        <w:t>be</w:t>
      </w:r>
      <w:r>
        <w:rPr>
          <w:i/>
          <w:color w:val="221F1F"/>
          <w:spacing w:val="-3"/>
          <w:sz w:val="24"/>
        </w:rPr>
        <w:t xml:space="preserve"> </w:t>
      </w:r>
      <w:r>
        <w:rPr>
          <w:i/>
          <w:color w:val="221F1F"/>
          <w:sz w:val="24"/>
        </w:rPr>
        <w:t>p</w:t>
      </w:r>
      <w:r>
        <w:rPr>
          <w:rFonts w:eastAsia="宋体" w:hint="eastAsia"/>
          <w:i/>
          <w:color w:val="221F1F"/>
          <w:sz w:val="24"/>
          <w:lang w:eastAsia="zh-CN"/>
        </w:rPr>
        <w:t>ublished</w:t>
      </w:r>
      <w:r>
        <w:rPr>
          <w:i/>
          <w:color w:val="221F1F"/>
          <w:spacing w:val="-4"/>
          <w:sz w:val="24"/>
        </w:rPr>
        <w:t xml:space="preserve"> </w:t>
      </w:r>
      <w:r>
        <w:rPr>
          <w:i/>
          <w:color w:val="221F1F"/>
          <w:sz w:val="24"/>
        </w:rPr>
        <w:t>on</w:t>
      </w:r>
      <w:r>
        <w:rPr>
          <w:i/>
          <w:color w:val="221F1F"/>
          <w:spacing w:val="-5"/>
          <w:sz w:val="24"/>
        </w:rPr>
        <w:t xml:space="preserve"> </w:t>
      </w:r>
      <w:r>
        <w:rPr>
          <w:i/>
          <w:color w:val="221F1F"/>
          <w:sz w:val="24"/>
        </w:rPr>
        <w:t xml:space="preserve">the </w:t>
      </w:r>
      <w:r>
        <w:rPr>
          <w:i/>
          <w:color w:val="221F1F"/>
          <w:spacing w:val="-3"/>
          <w:sz w:val="24"/>
        </w:rPr>
        <w:t xml:space="preserve">Company’s </w:t>
      </w:r>
      <w:r>
        <w:rPr>
          <w:i/>
          <w:color w:val="221F1F"/>
          <w:sz w:val="24"/>
        </w:rPr>
        <w:t>website at</w:t>
      </w:r>
      <w:r>
        <w:rPr>
          <w:i/>
          <w:color w:val="221F1F"/>
          <w:spacing w:val="-11"/>
          <w:sz w:val="24"/>
        </w:rPr>
        <w:t xml:space="preserve"> </w:t>
      </w:r>
      <w:hyperlink r:id="rId8">
        <w:r>
          <w:rPr>
            <w:i/>
            <w:color w:val="221F1F"/>
            <w:spacing w:val="-3"/>
            <w:sz w:val="24"/>
          </w:rPr>
          <w:t>http://www.chgi.net.</w:t>
        </w:r>
      </w:hyperlink>
    </w:p>
    <w:sectPr w:rsidR="00AF1A90">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3566" w14:textId="77777777" w:rsidR="00154D00" w:rsidRDefault="00154D00">
      <w:r>
        <w:separator/>
      </w:r>
    </w:p>
  </w:endnote>
  <w:endnote w:type="continuationSeparator" w:id="0">
    <w:p w14:paraId="6B3D210C" w14:textId="77777777" w:rsidR="00154D00" w:rsidRDefault="0015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078D" w14:textId="77777777" w:rsidR="00154D00" w:rsidRDefault="00154D00">
      <w:r>
        <w:separator/>
      </w:r>
    </w:p>
  </w:footnote>
  <w:footnote w:type="continuationSeparator" w:id="0">
    <w:p w14:paraId="481266FB" w14:textId="77777777" w:rsidR="00154D00" w:rsidRDefault="00154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NjOWQwYjA1ZmNhYmJjMGUxMWY5MTMzMjUwZDQyNTAifQ=="/>
  </w:docVars>
  <w:rsids>
    <w:rsidRoot w:val="00AF1A90"/>
    <w:rsid w:val="00015293"/>
    <w:rsid w:val="00154D00"/>
    <w:rsid w:val="002B712E"/>
    <w:rsid w:val="00304207"/>
    <w:rsid w:val="003123FD"/>
    <w:rsid w:val="003B010A"/>
    <w:rsid w:val="003D178B"/>
    <w:rsid w:val="005B639D"/>
    <w:rsid w:val="00616655"/>
    <w:rsid w:val="006531E1"/>
    <w:rsid w:val="006D2D1F"/>
    <w:rsid w:val="00757541"/>
    <w:rsid w:val="007C5238"/>
    <w:rsid w:val="008B599B"/>
    <w:rsid w:val="0093544A"/>
    <w:rsid w:val="009E1AB8"/>
    <w:rsid w:val="00A13860"/>
    <w:rsid w:val="00AF1A90"/>
    <w:rsid w:val="00C56F8C"/>
    <w:rsid w:val="00CA257D"/>
    <w:rsid w:val="00CB3A91"/>
    <w:rsid w:val="00D03909"/>
    <w:rsid w:val="00D06EE3"/>
    <w:rsid w:val="00D112A8"/>
    <w:rsid w:val="00D40878"/>
    <w:rsid w:val="00D87C1D"/>
    <w:rsid w:val="00DA2706"/>
    <w:rsid w:val="00E07C9E"/>
    <w:rsid w:val="00E6607F"/>
    <w:rsid w:val="00E77C61"/>
    <w:rsid w:val="00EC567B"/>
    <w:rsid w:val="00F9185B"/>
    <w:rsid w:val="00FA420E"/>
    <w:rsid w:val="00FD1CAA"/>
    <w:rsid w:val="0DC843AD"/>
    <w:rsid w:val="1D7A45EE"/>
    <w:rsid w:val="37A30B72"/>
    <w:rsid w:val="45D779B7"/>
    <w:rsid w:val="675D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178C2"/>
  <w15:docId w15:val="{767BC62A-7F2B-4213-872F-393067B8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bidi="en-US"/>
    </w:rPr>
  </w:style>
  <w:style w:type="paragraph" w:styleId="1">
    <w:name w:val="heading 1"/>
    <w:basedOn w:val="a"/>
    <w:next w:val="a"/>
    <w:uiPriority w:val="1"/>
    <w:qFormat/>
    <w:pPr>
      <w:ind w:left="629" w:right="642"/>
      <w:jc w:val="center"/>
      <w:outlineLvl w:val="0"/>
    </w:pPr>
    <w:rPr>
      <w:b/>
      <w:bCs/>
      <w:sz w:val="28"/>
      <w:szCs w:val="28"/>
    </w:rPr>
  </w:style>
  <w:style w:type="paragraph" w:styleId="2">
    <w:name w:val="heading 2"/>
    <w:basedOn w:val="a"/>
    <w:next w:val="a"/>
    <w:uiPriority w:val="1"/>
    <w:qFormat/>
    <w:pPr>
      <w:spacing w:before="2"/>
      <w:ind w:left="6633" w:right="56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D408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40878"/>
    <w:rPr>
      <w:rFonts w:ascii="Times New Roman" w:eastAsia="Times New Roman" w:hAnsi="Times New Roman" w:cs="Times New Roman"/>
      <w:sz w:val="18"/>
      <w:szCs w:val="18"/>
      <w:lang w:eastAsia="en-US" w:bidi="en-US"/>
    </w:rPr>
  </w:style>
  <w:style w:type="paragraph" w:styleId="a7">
    <w:name w:val="footer"/>
    <w:basedOn w:val="a"/>
    <w:link w:val="a8"/>
    <w:rsid w:val="00D40878"/>
    <w:pPr>
      <w:tabs>
        <w:tab w:val="center" w:pos="4153"/>
        <w:tab w:val="right" w:pos="8306"/>
      </w:tabs>
      <w:snapToGrid w:val="0"/>
    </w:pPr>
    <w:rPr>
      <w:sz w:val="18"/>
      <w:szCs w:val="18"/>
    </w:rPr>
  </w:style>
  <w:style w:type="character" w:customStyle="1" w:styleId="a8">
    <w:name w:val="页脚 字符"/>
    <w:basedOn w:val="a0"/>
    <w:link w:val="a7"/>
    <w:rsid w:val="00D40878"/>
    <w:rPr>
      <w:rFonts w:ascii="Times New Roman" w:eastAsia="Times New Roman" w:hAnsi="Times New Roman" w:cs="Times New Roman"/>
      <w:sz w:val="18"/>
      <w:szCs w:val="18"/>
      <w:lang w:eastAsia="en-US" w:bidi="en-US"/>
    </w:rPr>
  </w:style>
  <w:style w:type="paragraph" w:styleId="a9">
    <w:name w:val="Revision"/>
    <w:hidden/>
    <w:uiPriority w:val="99"/>
    <w:semiHidden/>
    <w:rsid w:val="00E6607F"/>
    <w:rPr>
      <w:rFonts w:ascii="Times New Roman" w:eastAsia="Times New Roman" w:hAnsi="Times New Roman" w:cs="Times New Roman"/>
      <w:sz w:val="22"/>
      <w:szCs w:val="22"/>
      <w:lang w:eastAsia="en-US" w:bidi="en-US"/>
    </w:rPr>
  </w:style>
  <w:style w:type="character" w:styleId="aa">
    <w:name w:val="annotation reference"/>
    <w:basedOn w:val="a0"/>
    <w:rsid w:val="003B010A"/>
    <w:rPr>
      <w:sz w:val="21"/>
      <w:szCs w:val="21"/>
    </w:rPr>
  </w:style>
  <w:style w:type="paragraph" w:styleId="ab">
    <w:name w:val="annotation text"/>
    <w:basedOn w:val="a"/>
    <w:link w:val="ac"/>
    <w:rsid w:val="003B010A"/>
  </w:style>
  <w:style w:type="character" w:customStyle="1" w:styleId="ac">
    <w:name w:val="批注文字 字符"/>
    <w:basedOn w:val="a0"/>
    <w:link w:val="ab"/>
    <w:rsid w:val="003B010A"/>
    <w:rPr>
      <w:rFonts w:ascii="Times New Roman" w:eastAsia="Times New Roman" w:hAnsi="Times New Roman" w:cs="Times New Roman"/>
      <w:sz w:val="22"/>
      <w:szCs w:val="22"/>
      <w:lang w:eastAsia="en-US" w:bidi="en-US"/>
    </w:rPr>
  </w:style>
  <w:style w:type="paragraph" w:styleId="ad">
    <w:name w:val="annotation subject"/>
    <w:basedOn w:val="ab"/>
    <w:next w:val="ab"/>
    <w:link w:val="ae"/>
    <w:rsid w:val="003B010A"/>
    <w:rPr>
      <w:b/>
      <w:bCs/>
    </w:rPr>
  </w:style>
  <w:style w:type="character" w:customStyle="1" w:styleId="ae">
    <w:name w:val="批注主题 字符"/>
    <w:basedOn w:val="ac"/>
    <w:link w:val="ad"/>
    <w:rsid w:val="003B010A"/>
    <w:rPr>
      <w:rFonts w:ascii="Times New Roman" w:eastAsia="Times New Roman" w:hAnsi="Times New Roman" w:cs="Times New Roman"/>
      <w:b/>
      <w:bC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i.net/" TargetMode="External"/><Relationship Id="rId3" Type="http://schemas.openxmlformats.org/officeDocument/2006/relationships/webSettings" Target="webSettings.xml"/><Relationship Id="rId7" Type="http://schemas.openxmlformats.org/officeDocument/2006/relationships/hyperlink" Target="http://www.hkg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Chan</dc:creator>
  <cp:lastModifiedBy>尉 来</cp:lastModifiedBy>
  <cp:revision>5</cp:revision>
  <cp:lastPrinted>2022-08-31T10:18:00Z</cp:lastPrinted>
  <dcterms:created xsi:type="dcterms:W3CDTF">2022-09-01T09:53:00Z</dcterms:created>
  <dcterms:modified xsi:type="dcterms:W3CDTF">2022-09-01T10:04:00Z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2022-08-31T00:00:00Z</vt:filetime>
  </property>
  <property fmtid="{D5CDD505-2E9C-101B-9397-08002B2CF9AE}" pid="5" name="KSOProductBuildVer">
    <vt:lpwstr>2052-11.1.0.12313</vt:lpwstr>
  </property>
  <property fmtid="{D5CDD505-2E9C-101B-9397-08002B2CF9AE}" pid="6" name="ICV">
    <vt:lpwstr>9F8741E0F25146D3A44C3486B8FA1AD6</vt:lpwstr>
  </property>
</Properties>
</file>