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D5" w:rsidRPr="004B783B" w:rsidRDefault="00D90FD5" w:rsidP="00D90FD5">
      <w:pPr>
        <w:jc w:val="both"/>
        <w:rPr>
          <w:rFonts w:ascii="Arial" w:hAnsi="Arial" w:cs="Arial"/>
          <w:i/>
          <w:sz w:val="20"/>
        </w:rPr>
      </w:pPr>
      <w:bookmarkStart w:id="0" w:name="_GoBack"/>
      <w:bookmarkEnd w:id="0"/>
      <w:r w:rsidRPr="00EB08A5">
        <w:rPr>
          <w:rFonts w:ascii="Arial" w:hAnsi="Arial" w:cs="Arial"/>
          <w:i/>
          <w:sz w:val="20"/>
        </w:rPr>
        <w:t>Hong Kong Exchanges and Clearing Limited and The Stock Exchange of Hong Kong Limited</w:t>
      </w:r>
      <w:r>
        <w:rPr>
          <w:rFonts w:ascii="Arial" w:hAnsi="Arial" w:cs="Arial"/>
          <w:i/>
          <w:sz w:val="20"/>
        </w:rPr>
        <w:t xml:space="preserve"> (the "Stock Exchange")</w:t>
      </w:r>
      <w:r w:rsidRPr="00EB08A5">
        <w:rPr>
          <w:rFonts w:ascii="Arial" w:hAnsi="Arial" w:cs="Arial"/>
          <w:i/>
          <w:sz w:val="20"/>
        </w:rPr>
        <w:t xml:space="preserve">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rsidR="00D90FD5" w:rsidRDefault="00D90FD5" w:rsidP="00D90FD5">
      <w:pPr>
        <w:pStyle w:val="Default"/>
      </w:pPr>
    </w:p>
    <w:p w:rsidR="00D90FD5" w:rsidRDefault="00D90FD5" w:rsidP="00D90FD5">
      <w:pPr>
        <w:pStyle w:val="Default"/>
      </w:pPr>
    </w:p>
    <w:p w:rsidR="00706E6E" w:rsidRDefault="00706E6E" w:rsidP="00D90FD5">
      <w:pPr>
        <w:pStyle w:val="Default"/>
      </w:pPr>
    </w:p>
    <w:p w:rsidR="00706E6E" w:rsidRDefault="00EB6FF5" w:rsidP="00706E6E">
      <w:pPr>
        <w:pStyle w:val="Default"/>
        <w:jc w:val="center"/>
      </w:pPr>
      <w:r w:rsidRPr="00F00F08">
        <w:rPr>
          <w:noProof/>
          <w:lang w:eastAsia="zh-TW"/>
        </w:rPr>
        <w:drawing>
          <wp:inline distT="0" distB="0" distL="0" distR="0">
            <wp:extent cx="2771775" cy="809625"/>
            <wp:effectExtent l="0" t="0" r="9525" b="9525"/>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t="29051" b="29602"/>
                    <a:stretch>
                      <a:fillRect/>
                    </a:stretch>
                  </pic:blipFill>
                  <pic:spPr bwMode="auto">
                    <a:xfrm>
                      <a:off x="0" y="0"/>
                      <a:ext cx="2771775" cy="809625"/>
                    </a:xfrm>
                    <a:prstGeom prst="rect">
                      <a:avLst/>
                    </a:prstGeom>
                    <a:noFill/>
                    <a:ln>
                      <a:noFill/>
                    </a:ln>
                  </pic:spPr>
                </pic:pic>
              </a:graphicData>
            </a:graphic>
          </wp:inline>
        </w:drawing>
      </w:r>
    </w:p>
    <w:p w:rsidR="00D90FD5" w:rsidRDefault="00D90FD5" w:rsidP="00D90FD5">
      <w:pPr>
        <w:pStyle w:val="Default"/>
      </w:pPr>
    </w:p>
    <w:p w:rsidR="0010067D" w:rsidRDefault="0010067D" w:rsidP="00D90FD5">
      <w:pPr>
        <w:pStyle w:val="Default"/>
      </w:pPr>
    </w:p>
    <w:p w:rsidR="00D90FD5" w:rsidRDefault="00D90FD5" w:rsidP="00D90FD5">
      <w:pPr>
        <w:jc w:val="center"/>
        <w:rPr>
          <w:rFonts w:ascii="Arial" w:hAnsi="Arial" w:cs="Arial"/>
          <w:sz w:val="24"/>
          <w:szCs w:val="24"/>
        </w:rPr>
      </w:pPr>
      <w:r w:rsidRPr="004B783B">
        <w:rPr>
          <w:rFonts w:ascii="Arial" w:hAnsi="Arial" w:cs="Arial"/>
          <w:sz w:val="24"/>
          <w:szCs w:val="24"/>
        </w:rPr>
        <w:t xml:space="preserve">Notice of Valuation of </w:t>
      </w:r>
      <w:r>
        <w:rPr>
          <w:rFonts w:ascii="Arial" w:hAnsi="Arial" w:cs="Arial"/>
          <w:sz w:val="24"/>
          <w:szCs w:val="24"/>
        </w:rPr>
        <w:t>Residual Value</w:t>
      </w:r>
      <w:r w:rsidRPr="004B783B">
        <w:rPr>
          <w:rFonts w:ascii="Arial" w:hAnsi="Arial" w:cs="Arial"/>
          <w:sz w:val="24"/>
          <w:szCs w:val="24"/>
        </w:rPr>
        <w:t xml:space="preserve"> </w:t>
      </w:r>
      <w:r w:rsidR="0010067D">
        <w:rPr>
          <w:rFonts w:ascii="Arial" w:hAnsi="Arial" w:cs="Arial"/>
          <w:sz w:val="24"/>
          <w:szCs w:val="24"/>
        </w:rPr>
        <w:t xml:space="preserve">of the </w:t>
      </w:r>
      <w:r w:rsidR="00A00DDD">
        <w:rPr>
          <w:rFonts w:ascii="Arial" w:hAnsi="Arial" w:cs="Arial"/>
          <w:sz w:val="24"/>
          <w:szCs w:val="24"/>
        </w:rPr>
        <w:t>C</w:t>
      </w:r>
      <w:r w:rsidR="00706E6E">
        <w:rPr>
          <w:rFonts w:ascii="Arial" w:hAnsi="Arial" w:cs="Arial"/>
          <w:sz w:val="24"/>
          <w:szCs w:val="24"/>
        </w:rPr>
        <w:t xml:space="preserve">allable </w:t>
      </w:r>
      <w:r w:rsidR="00A00DDD">
        <w:rPr>
          <w:rFonts w:ascii="Arial" w:hAnsi="Arial" w:cs="Arial"/>
          <w:sz w:val="24"/>
          <w:szCs w:val="24"/>
        </w:rPr>
        <w:t>B</w:t>
      </w:r>
      <w:r w:rsidR="00706E6E">
        <w:rPr>
          <w:rFonts w:ascii="Arial" w:hAnsi="Arial" w:cs="Arial"/>
          <w:sz w:val="24"/>
          <w:szCs w:val="24"/>
        </w:rPr>
        <w:t>ull/</w:t>
      </w:r>
      <w:r w:rsidR="00A00DDD">
        <w:rPr>
          <w:rFonts w:ascii="Arial" w:hAnsi="Arial" w:cs="Arial"/>
          <w:sz w:val="24"/>
          <w:szCs w:val="24"/>
        </w:rPr>
        <w:t>B</w:t>
      </w:r>
      <w:r w:rsidR="00706E6E">
        <w:rPr>
          <w:rFonts w:ascii="Arial" w:hAnsi="Arial" w:cs="Arial"/>
          <w:sz w:val="24"/>
          <w:szCs w:val="24"/>
        </w:rPr>
        <w:t xml:space="preserve">ear </w:t>
      </w:r>
      <w:r w:rsidR="00A00DDD">
        <w:rPr>
          <w:rFonts w:ascii="Arial" w:hAnsi="Arial" w:cs="Arial"/>
          <w:sz w:val="24"/>
          <w:szCs w:val="24"/>
        </w:rPr>
        <w:t>C</w:t>
      </w:r>
      <w:r w:rsidR="00706E6E">
        <w:rPr>
          <w:rFonts w:ascii="Arial" w:hAnsi="Arial" w:cs="Arial"/>
          <w:sz w:val="24"/>
          <w:szCs w:val="24"/>
        </w:rPr>
        <w:t>ontracts (</w:t>
      </w:r>
      <w:r w:rsidR="00A00DDD">
        <w:rPr>
          <w:rFonts w:ascii="Arial" w:hAnsi="Arial" w:cs="Arial"/>
          <w:sz w:val="24"/>
          <w:szCs w:val="24"/>
        </w:rPr>
        <w:t xml:space="preserve">the </w:t>
      </w:r>
      <w:r w:rsidR="00706E6E">
        <w:rPr>
          <w:rFonts w:ascii="Arial" w:hAnsi="Arial" w:cs="Arial"/>
          <w:sz w:val="24"/>
          <w:szCs w:val="24"/>
        </w:rPr>
        <w:t>“CBBCs”)</w:t>
      </w:r>
    </w:p>
    <w:p w:rsidR="00D90FD5" w:rsidRDefault="00706E6E" w:rsidP="00D90FD5">
      <w:pPr>
        <w:jc w:val="center"/>
        <w:rPr>
          <w:rFonts w:ascii="Arial" w:hAnsi="Arial" w:cs="Arial"/>
          <w:sz w:val="24"/>
          <w:szCs w:val="24"/>
        </w:rPr>
      </w:pPr>
      <w:r w:rsidRPr="004B783B">
        <w:rPr>
          <w:rFonts w:ascii="Arial" w:hAnsi="Arial" w:cs="Arial"/>
          <w:sz w:val="24"/>
          <w:szCs w:val="24"/>
        </w:rPr>
        <w:t>Issued</w:t>
      </w:r>
      <w:r w:rsidR="00D90FD5" w:rsidRPr="004B783B">
        <w:rPr>
          <w:rFonts w:ascii="Arial" w:hAnsi="Arial" w:cs="Arial"/>
          <w:sz w:val="24"/>
          <w:szCs w:val="24"/>
        </w:rPr>
        <w:t xml:space="preserve"> by</w:t>
      </w:r>
    </w:p>
    <w:p w:rsidR="00D90FD5" w:rsidRDefault="00D90FD5" w:rsidP="00D90FD5">
      <w:pPr>
        <w:jc w:val="center"/>
        <w:rPr>
          <w:rFonts w:ascii="Arial" w:hAnsi="Arial" w:cs="Arial"/>
          <w:sz w:val="24"/>
          <w:szCs w:val="24"/>
        </w:rPr>
      </w:pP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(Incorporated in Hong Kong with limited liability under the Companies Ordinance of Hong Kong)</w:t>
      </w:r>
    </w:p>
    <w:p w:rsidR="00D90FD5" w:rsidRDefault="00D90FD5" w:rsidP="00D90FD5">
      <w:pPr>
        <w:jc w:val="center"/>
        <w:rPr>
          <w:rFonts w:ascii="Arial" w:hAnsi="Arial" w:cs="Arial"/>
          <w:sz w:val="24"/>
          <w:szCs w:val="24"/>
        </w:rPr>
      </w:pPr>
    </w:p>
    <w:p w:rsidR="00D90FD5" w:rsidRDefault="00D90FD5" w:rsidP="00D90FD5">
      <w:pPr>
        <w:jc w:val="center"/>
        <w:rPr>
          <w:rFonts w:ascii="Arial" w:hAnsi="Arial" w:cs="Arial"/>
          <w:b/>
          <w:sz w:val="24"/>
          <w:szCs w:val="24"/>
        </w:rPr>
      </w:pPr>
      <w:r w:rsidRPr="001A2F53">
        <w:rPr>
          <w:rFonts w:ascii="Arial" w:hAnsi="Arial" w:cs="Arial"/>
          <w:b/>
          <w:sz w:val="24"/>
          <w:szCs w:val="24"/>
        </w:rPr>
        <w:t>Non-collateralised Structured Products</w:t>
      </w:r>
    </w:p>
    <w:p w:rsidR="00D90FD5" w:rsidRDefault="00D90FD5" w:rsidP="00D90FD5">
      <w:pPr>
        <w:jc w:val="center"/>
        <w:rPr>
          <w:rFonts w:ascii="Arial" w:hAnsi="Arial" w:cs="Arial"/>
          <w:b/>
          <w:sz w:val="24"/>
          <w:szCs w:val="24"/>
        </w:rPr>
      </w:pPr>
    </w:p>
    <w:p w:rsidR="00706E6E" w:rsidRDefault="00706E6E" w:rsidP="00D90FD5">
      <w:pPr>
        <w:jc w:val="center"/>
        <w:rPr>
          <w:rFonts w:ascii="Arial" w:hAnsi="Arial" w:cs="Arial"/>
          <w:b/>
          <w:sz w:val="24"/>
          <w:szCs w:val="24"/>
        </w:rPr>
      </w:pP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Default="00D90FD5" w:rsidP="0049221D">
      <w:pPr>
        <w:jc w:val="both"/>
      </w:pPr>
      <w:r w:rsidRPr="000D4EF0">
        <w:rPr>
          <w:rFonts w:ascii="Arial" w:hAnsi="Arial" w:cs="Arial"/>
        </w:rPr>
        <w:t>The Hongkong and Shanghai Banking Corporation</w:t>
      </w:r>
      <w:r w:rsidR="0010067D">
        <w:rPr>
          <w:rFonts w:ascii="Arial" w:hAnsi="Arial" w:cs="Arial"/>
        </w:rPr>
        <w:t xml:space="preserve"> Limited</w:t>
      </w:r>
      <w:r w:rsidRPr="000D4EF0">
        <w:rPr>
          <w:rFonts w:ascii="Arial" w:hAnsi="Arial" w:cs="Arial"/>
        </w:rPr>
        <w:t xml:space="preserve"> </w:t>
      </w:r>
      <w:r>
        <w:t>(the “</w:t>
      </w:r>
      <w:r>
        <w:rPr>
          <w:b/>
          <w:bCs/>
        </w:rPr>
        <w:t>Issuer</w:t>
      </w:r>
      <w:r>
        <w:t>”) gives notice that under the terms and conditions of the CBBCs (the “</w:t>
      </w:r>
      <w:r>
        <w:rPr>
          <w:b/>
          <w:bCs/>
        </w:rPr>
        <w:t>Conditions</w:t>
      </w:r>
      <w:r>
        <w:t>”), following the occurrence of the Mandatory Call Event (the “</w:t>
      </w:r>
      <w:r>
        <w:rPr>
          <w:b/>
          <w:bCs/>
        </w:rPr>
        <w:t>MCE</w:t>
      </w:r>
      <w:r>
        <w:t>”) in respect of the CBBCs described in the table below in the pre-opening session</w:t>
      </w:r>
      <w:r w:rsidR="00E921C0">
        <w:t>,</w:t>
      </w:r>
      <w:r>
        <w:t xml:space="preserve"> the continuous trading session </w:t>
      </w:r>
      <w:r w:rsidR="007A00AD">
        <w:t xml:space="preserve">or the closing auction session </w:t>
      </w:r>
      <w:r>
        <w:t>(as the case may be) of the Stock Exchange at the time (the “</w:t>
      </w:r>
      <w:r>
        <w:rPr>
          <w:b/>
          <w:bCs/>
        </w:rPr>
        <w:t>MCE Time</w:t>
      </w:r>
      <w:r>
        <w:t>”) and on the date (the “</w:t>
      </w:r>
      <w:r>
        <w:rPr>
          <w:b/>
          <w:bCs/>
        </w:rPr>
        <w:t>MCE Date</w:t>
      </w:r>
      <w:r>
        <w:t>”) specified in the table below, the Residual Value in respect of the CBBCs has been determined as follows:</w:t>
      </w:r>
    </w:p>
    <w:p w:rsidR="00706E6E" w:rsidRDefault="00706E6E" w:rsidP="00D90FD5">
      <w:pPr>
        <w:jc w:val="center"/>
        <w:rPr>
          <w:sz w:val="22"/>
          <w:szCs w:val="22"/>
        </w:rPr>
      </w:pPr>
    </w:p>
    <w:p w:rsidR="00706E6E" w:rsidRDefault="00706E6E" w:rsidP="00D90FD5">
      <w:pPr>
        <w:jc w:val="center"/>
        <w:rPr>
          <w:sz w:val="22"/>
          <w:szCs w:val="22"/>
        </w:rPr>
      </w:pPr>
    </w:p>
    <w:p w:rsidR="00706E6E" w:rsidRDefault="00706E6E" w:rsidP="00D90FD5">
      <w:pPr>
        <w:jc w:val="center"/>
        <w:rPr>
          <w:sz w:val="22"/>
          <w:szCs w:val="22"/>
        </w:rPr>
      </w:pPr>
    </w:p>
    <w:p w:rsidR="00706E6E" w:rsidRDefault="00706E6E" w:rsidP="00D90FD5">
      <w:pPr>
        <w:jc w:val="center"/>
        <w:rPr>
          <w:sz w:val="22"/>
          <w:szCs w:val="22"/>
        </w:rPr>
      </w:pPr>
    </w:p>
    <w:p w:rsidR="00706E6E" w:rsidRDefault="00706E6E" w:rsidP="00D90FD5">
      <w:pPr>
        <w:jc w:val="center"/>
        <w:rPr>
          <w:sz w:val="22"/>
          <w:szCs w:val="22"/>
        </w:rPr>
      </w:pPr>
    </w:p>
    <w:p w:rsidR="00706E6E" w:rsidRDefault="00706E6E" w:rsidP="00D90FD5">
      <w:pPr>
        <w:jc w:val="center"/>
        <w:rPr>
          <w:sz w:val="22"/>
          <w:szCs w:val="22"/>
        </w:rPr>
      </w:pPr>
    </w:p>
    <w:tbl>
      <w:tblPr>
        <w:tblW w:w="12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
        <w:gridCol w:w="857"/>
        <w:gridCol w:w="895"/>
        <w:gridCol w:w="824"/>
        <w:gridCol w:w="1183"/>
        <w:gridCol w:w="1216"/>
        <w:gridCol w:w="901"/>
        <w:gridCol w:w="1038"/>
        <w:gridCol w:w="983"/>
        <w:gridCol w:w="1016"/>
        <w:gridCol w:w="1105"/>
        <w:gridCol w:w="961"/>
        <w:gridCol w:w="961"/>
      </w:tblGrid>
      <w:tr w:rsidR="00AD0F86" w:rsidRPr="00AD0F86" w:rsidTr="00AD0F86">
        <w:trPr>
          <w:trHeight w:val="1290"/>
        </w:trPr>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bookmarkStart w:id="1" w:name="RANGE!A3"/>
            <w:bookmarkStart w:id="2" w:name="RANGE!A3:M3"/>
            <w:bookmarkEnd w:id="2"/>
            <w:r w:rsidRPr="00AD0F86">
              <w:rPr>
                <w:rFonts w:eastAsia="Times New Roman"/>
                <w:b/>
                <w:bCs/>
                <w:color w:val="000000"/>
                <w:sz w:val="20"/>
                <w:lang w:val="en-US" w:eastAsia="zh-TW"/>
              </w:rPr>
              <w:lastRenderedPageBreak/>
              <w:t xml:space="preserve">Stock Code </w:t>
            </w:r>
            <w:bookmarkEnd w:id="1"/>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Type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MCE Time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MCE Date </w:t>
            </w:r>
          </w:p>
        </w:tc>
        <w:tc>
          <w:tcPr>
            <w:tcW w:w="104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Underlying </w:t>
            </w:r>
          </w:p>
        </w:tc>
        <w:tc>
          <w:tcPr>
            <w:tcW w:w="118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Issue Size</w:t>
            </w:r>
            <w:r w:rsidRPr="00AD0F86">
              <w:rPr>
                <w:rFonts w:eastAsia="Times New Roman"/>
                <w:b/>
                <w:bCs/>
                <w:color w:val="000000"/>
                <w:sz w:val="20"/>
                <w:lang w:val="en-US" w:eastAsia="zh-TW"/>
              </w:rPr>
              <w:br/>
              <w:t>(CBBCs)</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Divisor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Index Currency Amount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Board Lot </w:t>
            </w:r>
            <w:r w:rsidRPr="00AD0F86">
              <w:rPr>
                <w:rFonts w:eastAsia="Times New Roman"/>
                <w:b/>
                <w:bCs/>
                <w:color w:val="000000"/>
                <w:sz w:val="20"/>
                <w:lang w:val="en-US" w:eastAsia="zh-TW"/>
              </w:rPr>
              <w:br/>
              <w:t>(CBBCs)</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Strike Level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Maximum / Minimum Index Level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Residual Value per CBBC </w:t>
            </w:r>
          </w:p>
        </w:tc>
        <w:tc>
          <w:tcPr>
            <w:tcW w:w="960" w:type="dxa"/>
            <w:shd w:val="clear" w:color="auto" w:fill="auto"/>
            <w:vAlign w:val="center"/>
            <w:hideMark/>
          </w:tcPr>
          <w:p w:rsidR="00AD0F86" w:rsidRPr="00AD0F86" w:rsidRDefault="00AD0F86" w:rsidP="00AD0F86">
            <w:pPr>
              <w:rPr>
                <w:rFonts w:eastAsia="Times New Roman"/>
                <w:b/>
                <w:bCs/>
                <w:color w:val="000000"/>
                <w:sz w:val="20"/>
                <w:lang w:val="en-US" w:eastAsia="zh-TW"/>
              </w:rPr>
            </w:pPr>
            <w:r w:rsidRPr="00AD0F86">
              <w:rPr>
                <w:rFonts w:eastAsia="Times New Roman"/>
                <w:b/>
                <w:bCs/>
                <w:color w:val="000000"/>
                <w:sz w:val="20"/>
                <w:lang w:val="en-US" w:eastAsia="zh-TW"/>
              </w:rPr>
              <w:t xml:space="preserve">Residual Value per Board Lot </w:t>
            </w:r>
          </w:p>
        </w:tc>
      </w:tr>
      <w:tr w:rsidR="00AD0F86" w:rsidRPr="00AD0F86" w:rsidTr="00AD0F86">
        <w:trPr>
          <w:trHeight w:val="525"/>
        </w:trPr>
        <w:tc>
          <w:tcPr>
            <w:tcW w:w="96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57714</w:t>
            </w:r>
          </w:p>
        </w:tc>
        <w:tc>
          <w:tcPr>
            <w:tcW w:w="960" w:type="dxa"/>
            <w:shd w:val="clear" w:color="auto" w:fill="auto"/>
            <w:vAlign w:val="center"/>
            <w:hideMark/>
          </w:tcPr>
          <w:p w:rsidR="00AD0F86" w:rsidRPr="00AD0F86" w:rsidRDefault="00AD0F86" w:rsidP="00AD0F86">
            <w:pPr>
              <w:rPr>
                <w:rFonts w:eastAsia="Times New Roman"/>
                <w:color w:val="000000"/>
                <w:sz w:val="20"/>
                <w:lang w:val="en-US" w:eastAsia="zh-TW"/>
              </w:rPr>
            </w:pPr>
            <w:r w:rsidRPr="00AD0F86">
              <w:rPr>
                <w:rFonts w:eastAsia="Times New Roman"/>
                <w:color w:val="000000"/>
                <w:sz w:val="20"/>
                <w:lang w:val="en-US" w:eastAsia="zh-TW"/>
              </w:rPr>
              <w:t>BEAR</w:t>
            </w:r>
          </w:p>
        </w:tc>
        <w:tc>
          <w:tcPr>
            <w:tcW w:w="96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9:20:54</w:t>
            </w:r>
          </w:p>
        </w:tc>
        <w:tc>
          <w:tcPr>
            <w:tcW w:w="960" w:type="dxa"/>
            <w:shd w:val="clear" w:color="auto" w:fill="auto"/>
            <w:vAlign w:val="center"/>
            <w:hideMark/>
          </w:tcPr>
          <w:p w:rsidR="00AD0F86" w:rsidRPr="00AD0F86" w:rsidRDefault="00AD0F86" w:rsidP="00AD0F86">
            <w:pPr>
              <w:rPr>
                <w:rFonts w:eastAsia="Times New Roman"/>
                <w:color w:val="000000"/>
                <w:sz w:val="20"/>
                <w:lang w:val="en-US" w:eastAsia="zh-TW"/>
              </w:rPr>
            </w:pPr>
            <w:r w:rsidRPr="00AD0F86">
              <w:rPr>
                <w:rFonts w:eastAsia="Times New Roman"/>
                <w:color w:val="000000"/>
                <w:sz w:val="20"/>
                <w:lang w:val="en-US" w:eastAsia="zh-TW"/>
              </w:rPr>
              <w:t>10 Dec 2021</w:t>
            </w:r>
          </w:p>
        </w:tc>
        <w:tc>
          <w:tcPr>
            <w:tcW w:w="1040" w:type="dxa"/>
            <w:shd w:val="clear" w:color="auto" w:fill="auto"/>
            <w:vAlign w:val="center"/>
            <w:hideMark/>
          </w:tcPr>
          <w:p w:rsidR="00AD0F86" w:rsidRPr="00AD0F86" w:rsidRDefault="00AD0F86" w:rsidP="00AD0F86">
            <w:pPr>
              <w:rPr>
                <w:rFonts w:eastAsia="Times New Roman"/>
                <w:color w:val="000000"/>
                <w:sz w:val="20"/>
                <w:lang w:val="en-US" w:eastAsia="zh-TW"/>
              </w:rPr>
            </w:pPr>
            <w:r w:rsidRPr="00AD0F86">
              <w:rPr>
                <w:rFonts w:eastAsia="Times New Roman"/>
                <w:color w:val="000000"/>
                <w:sz w:val="20"/>
                <w:lang w:val="en-US" w:eastAsia="zh-TW"/>
              </w:rPr>
              <w:t>Hang Seng Index</w:t>
            </w:r>
          </w:p>
        </w:tc>
        <w:tc>
          <w:tcPr>
            <w:tcW w:w="118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100,000,000</w:t>
            </w:r>
          </w:p>
        </w:tc>
        <w:tc>
          <w:tcPr>
            <w:tcW w:w="96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10,000</w:t>
            </w:r>
          </w:p>
        </w:tc>
        <w:tc>
          <w:tcPr>
            <w:tcW w:w="960" w:type="dxa"/>
            <w:shd w:val="clear" w:color="auto" w:fill="auto"/>
            <w:vAlign w:val="center"/>
            <w:hideMark/>
          </w:tcPr>
          <w:p w:rsidR="00AD0F86" w:rsidRPr="00AD0F86" w:rsidRDefault="00AD0F86" w:rsidP="00AD0F86">
            <w:pPr>
              <w:rPr>
                <w:rFonts w:eastAsia="Times New Roman"/>
                <w:color w:val="000000"/>
                <w:sz w:val="20"/>
                <w:lang w:val="en-US" w:eastAsia="zh-TW"/>
              </w:rPr>
            </w:pPr>
            <w:r w:rsidRPr="00AD0F86">
              <w:rPr>
                <w:rFonts w:eastAsia="Times New Roman"/>
                <w:color w:val="000000"/>
                <w:sz w:val="20"/>
                <w:lang w:val="en-US" w:eastAsia="zh-TW"/>
              </w:rPr>
              <w:t>HK$ 1.00</w:t>
            </w:r>
          </w:p>
        </w:tc>
        <w:tc>
          <w:tcPr>
            <w:tcW w:w="96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10,000</w:t>
            </w:r>
          </w:p>
        </w:tc>
        <w:tc>
          <w:tcPr>
            <w:tcW w:w="96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23,798.00</w:t>
            </w:r>
          </w:p>
        </w:tc>
        <w:tc>
          <w:tcPr>
            <w:tcW w:w="960" w:type="dxa"/>
            <w:shd w:val="clear" w:color="auto" w:fill="auto"/>
            <w:vAlign w:val="center"/>
            <w:hideMark/>
          </w:tcPr>
          <w:p w:rsidR="00AD0F86" w:rsidRPr="00AD0F86" w:rsidRDefault="00AD0F86" w:rsidP="00AD0F86">
            <w:pPr>
              <w:jc w:val="right"/>
              <w:rPr>
                <w:rFonts w:eastAsia="Times New Roman"/>
                <w:color w:val="000000"/>
                <w:sz w:val="20"/>
                <w:lang w:val="en-US" w:eastAsia="zh-TW"/>
              </w:rPr>
            </w:pPr>
            <w:r w:rsidRPr="00AD0F86">
              <w:rPr>
                <w:rFonts w:eastAsia="Times New Roman"/>
                <w:color w:val="000000"/>
                <w:sz w:val="20"/>
                <w:lang w:val="en-US" w:eastAsia="zh-TW"/>
              </w:rPr>
              <w:t>24,214.68</w:t>
            </w:r>
          </w:p>
        </w:tc>
        <w:tc>
          <w:tcPr>
            <w:tcW w:w="960" w:type="dxa"/>
            <w:shd w:val="clear" w:color="auto" w:fill="auto"/>
            <w:vAlign w:val="center"/>
            <w:hideMark/>
          </w:tcPr>
          <w:p w:rsidR="00AD0F86" w:rsidRPr="00AD0F86" w:rsidRDefault="00AD0F86" w:rsidP="00AD0F86">
            <w:pPr>
              <w:rPr>
                <w:rFonts w:eastAsia="Times New Roman"/>
                <w:color w:val="000000"/>
                <w:sz w:val="20"/>
                <w:lang w:val="en-US" w:eastAsia="zh-TW"/>
              </w:rPr>
            </w:pPr>
            <w:r w:rsidRPr="00AD0F86">
              <w:rPr>
                <w:rFonts w:eastAsia="Times New Roman"/>
                <w:color w:val="000000"/>
                <w:sz w:val="20"/>
                <w:lang w:val="en-US" w:eastAsia="zh-TW"/>
              </w:rPr>
              <w:t>HK$0.00</w:t>
            </w:r>
          </w:p>
        </w:tc>
        <w:tc>
          <w:tcPr>
            <w:tcW w:w="960" w:type="dxa"/>
            <w:shd w:val="clear" w:color="auto" w:fill="auto"/>
            <w:vAlign w:val="center"/>
            <w:hideMark/>
          </w:tcPr>
          <w:p w:rsidR="00AD0F86" w:rsidRPr="00AD0F86" w:rsidRDefault="00AD0F86" w:rsidP="00AD0F86">
            <w:pPr>
              <w:rPr>
                <w:rFonts w:eastAsia="Times New Roman"/>
                <w:color w:val="000000"/>
                <w:sz w:val="20"/>
                <w:lang w:val="en-US" w:eastAsia="zh-TW"/>
              </w:rPr>
            </w:pPr>
            <w:r w:rsidRPr="00AD0F86">
              <w:rPr>
                <w:rFonts w:eastAsia="Times New Roman"/>
                <w:color w:val="000000"/>
                <w:sz w:val="20"/>
                <w:lang w:val="en-US" w:eastAsia="zh-TW"/>
              </w:rPr>
              <w:t>HK$0</w:t>
            </w:r>
          </w:p>
        </w:tc>
      </w:tr>
    </w:tbl>
    <w:p w:rsidR="00706E6E" w:rsidRDefault="00706E6E" w:rsidP="00D90FD5">
      <w:pPr>
        <w:jc w:val="center"/>
        <w:rPr>
          <w:sz w:val="22"/>
          <w:szCs w:val="22"/>
        </w:rPr>
      </w:pPr>
    </w:p>
    <w:p w:rsidR="00A173CF" w:rsidRDefault="00A173CF" w:rsidP="00D90FD5">
      <w:pPr>
        <w:jc w:val="center"/>
        <w:rPr>
          <w:sz w:val="22"/>
          <w:szCs w:val="22"/>
        </w:rPr>
      </w:pPr>
    </w:p>
    <w:p w:rsidR="00612AA9" w:rsidRDefault="00612AA9">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612AA9" w:rsidP="00706E6E">
            <w:pPr>
              <w:autoSpaceDE w:val="0"/>
              <w:autoSpaceDN w:val="0"/>
              <w:adjustRightInd w:val="0"/>
              <w:rPr>
                <w:sz w:val="22"/>
                <w:szCs w:val="22"/>
              </w:rPr>
            </w:pPr>
            <w:r>
              <w:lastRenderedPageBreak/>
              <w:br w:type="page"/>
            </w:r>
            <w:r w:rsidR="00706E6E">
              <w:rPr>
                <w:sz w:val="22"/>
                <w:szCs w:val="22"/>
              </w:rPr>
              <w:t xml:space="preserve">For Bull CBBCs, the Residual Value per Board Lot is determined by the Issuer </w:t>
            </w:r>
            <w:r w:rsidR="001365DA">
              <w:rPr>
                <w:sz w:val="22"/>
                <w:szCs w:val="22"/>
              </w:rPr>
              <w:t>with</w:t>
            </w:r>
            <w:r w:rsidR="00706E6E">
              <w:rPr>
                <w:sz w:val="22"/>
                <w:szCs w:val="22"/>
              </w:rPr>
              <w:t xml:space="preserve"> reference to the following formula:</w:t>
            </w:r>
          </w:p>
          <w:p w:rsidR="00706E6E" w:rsidRDefault="00706E6E" w:rsidP="00706E6E">
            <w:pPr>
              <w:autoSpaceDE w:val="0"/>
              <w:autoSpaceDN w:val="0"/>
              <w:adjustRightInd w:val="0"/>
              <w:rPr>
                <w:sz w:val="22"/>
                <w:szCs w:val="22"/>
              </w:rPr>
            </w:pPr>
          </w:p>
          <w:p w:rsidR="00A173CF" w:rsidRDefault="00A173CF" w:rsidP="00706E6E">
            <w:pPr>
              <w:autoSpaceDE w:val="0"/>
              <w:autoSpaceDN w:val="0"/>
              <w:adjustRightInd w:val="0"/>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706E6E" w:rsidRPr="00A00DDD" w:rsidRDefault="00706E6E" w:rsidP="00706E6E">
                  <w:pPr>
                    <w:autoSpaceDE w:val="0"/>
                    <w:autoSpaceDN w:val="0"/>
                    <w:adjustRightInd w:val="0"/>
                    <w:rPr>
                      <w:rFonts w:eastAsia="Calibri"/>
                      <w:color w:val="000000"/>
                      <w:sz w:val="22"/>
                      <w:szCs w:val="22"/>
                      <w:u w:val="single"/>
                      <w:lang w:val="en-US"/>
                    </w:rPr>
                  </w:pPr>
                  <w:r w:rsidRPr="00A00DDD">
                    <w:rPr>
                      <w:rFonts w:eastAsia="Calibri"/>
                      <w:color w:val="000000"/>
                      <w:sz w:val="22"/>
                      <w:szCs w:val="22"/>
                      <w:u w:val="single"/>
                      <w:lang w:val="en-US"/>
                    </w:rPr>
                    <w:t xml:space="preserve">(Minimum Index Level - Strike Level) x one Board Lot x Index Currency Amount </w:t>
                  </w:r>
                </w:p>
              </w:tc>
            </w:tr>
            <w:tr w:rsidR="00706E6E" w:rsidRPr="00706E6E">
              <w:trPr>
                <w:trHeight w:val="145"/>
              </w:trPr>
              <w:tc>
                <w:tcPr>
                  <w:tcW w:w="9093" w:type="dxa"/>
                </w:tcPr>
                <w:p w:rsidR="00706E6E" w:rsidRPr="00A00DDD" w:rsidRDefault="00BE758E" w:rsidP="002B6BFC">
                  <w:pPr>
                    <w:autoSpaceDE w:val="0"/>
                    <w:autoSpaceDN w:val="0"/>
                    <w:adjustRightInd w:val="0"/>
                    <w:rPr>
                      <w:rFonts w:eastAsia="Calibri"/>
                      <w:color w:val="000000"/>
                      <w:sz w:val="22"/>
                      <w:szCs w:val="22"/>
                      <w:lang w:val="en-US"/>
                    </w:rPr>
                  </w:pPr>
                  <w:r w:rsidRPr="00A00DDD">
                    <w:rPr>
                      <w:rFonts w:eastAsia="Calibri"/>
                      <w:color w:val="000000"/>
                      <w:sz w:val="22"/>
                      <w:szCs w:val="22"/>
                      <w:lang w:val="en-US"/>
                    </w:rPr>
                    <w:t xml:space="preserve">                                                          </w:t>
                  </w:r>
                  <w:r w:rsidR="00706E6E" w:rsidRPr="00A00DDD">
                    <w:rPr>
                      <w:rFonts w:eastAsia="Calibri"/>
                      <w:color w:val="000000"/>
                      <w:sz w:val="22"/>
                      <w:szCs w:val="22"/>
                      <w:lang w:val="en-US"/>
                    </w:rPr>
                    <w:t xml:space="preserve">Divisor </w:t>
                  </w:r>
                </w:p>
              </w:tc>
            </w:tr>
            <w:tr w:rsidR="00BE758E" w:rsidRPr="00706E6E">
              <w:trPr>
                <w:trHeight w:val="145"/>
              </w:trPr>
              <w:tc>
                <w:tcPr>
                  <w:tcW w:w="9093" w:type="dxa"/>
                </w:tcPr>
                <w:p w:rsidR="00BE758E" w:rsidRPr="00A00DDD" w:rsidRDefault="00BE758E" w:rsidP="00706E6E">
                  <w:pPr>
                    <w:autoSpaceDE w:val="0"/>
                    <w:autoSpaceDN w:val="0"/>
                    <w:adjustRightInd w:val="0"/>
                    <w:rPr>
                      <w:rFonts w:eastAsia="Calibri"/>
                      <w:color w:val="000000"/>
                      <w:sz w:val="22"/>
                      <w:szCs w:val="22"/>
                      <w:lang w:val="en-US"/>
                    </w:rPr>
                  </w:pPr>
                </w:p>
                <w:p w:rsidR="00BE758E" w:rsidRDefault="00BE758E" w:rsidP="00706E6E">
                  <w:pPr>
                    <w:autoSpaceDE w:val="0"/>
                    <w:autoSpaceDN w:val="0"/>
                    <w:adjustRightInd w:val="0"/>
                    <w:rPr>
                      <w:rFonts w:eastAsia="Calibri"/>
                      <w:color w:val="000000"/>
                      <w:sz w:val="22"/>
                      <w:szCs w:val="22"/>
                      <w:lang w:val="en-US"/>
                    </w:rPr>
                  </w:pPr>
                </w:p>
                <w:p w:rsidR="00A173CF" w:rsidRPr="00A00DDD" w:rsidRDefault="00A173CF" w:rsidP="00706E6E">
                  <w:pPr>
                    <w:autoSpaceDE w:val="0"/>
                    <w:autoSpaceDN w:val="0"/>
                    <w:adjustRightInd w:val="0"/>
                    <w:rPr>
                      <w:rFonts w:eastAsia="Calibri"/>
                      <w:color w:val="000000"/>
                      <w:sz w:val="22"/>
                      <w:szCs w:val="22"/>
                      <w:lang w:val="en-US"/>
                    </w:rPr>
                  </w:pPr>
                </w:p>
                <w:p w:rsidR="00BE758E" w:rsidRDefault="00BE758E" w:rsidP="00706E6E">
                  <w:pPr>
                    <w:autoSpaceDE w:val="0"/>
                    <w:autoSpaceDN w:val="0"/>
                    <w:adjustRightInd w:val="0"/>
                    <w:rPr>
                      <w:sz w:val="22"/>
                      <w:szCs w:val="22"/>
                    </w:rPr>
                  </w:pPr>
                  <w:r>
                    <w:rPr>
                      <w:sz w:val="22"/>
                      <w:szCs w:val="22"/>
                    </w:rPr>
                    <w:t>For Bear CBBCs, the Residual Value per Board Lo</w:t>
                  </w:r>
                  <w:r w:rsidR="001365DA">
                    <w:rPr>
                      <w:sz w:val="22"/>
                      <w:szCs w:val="22"/>
                    </w:rPr>
                    <w:t>t is determined by the Issuer with</w:t>
                  </w:r>
                  <w:r>
                    <w:rPr>
                      <w:sz w:val="22"/>
                      <w:szCs w:val="22"/>
                    </w:rPr>
                    <w:t xml:space="preserve"> reference to the following formula:</w:t>
                  </w:r>
                </w:p>
                <w:p w:rsidR="00BE758E" w:rsidRDefault="00BE758E" w:rsidP="00706E6E">
                  <w:pPr>
                    <w:autoSpaceDE w:val="0"/>
                    <w:autoSpaceDN w:val="0"/>
                    <w:adjustRightInd w:val="0"/>
                    <w:rPr>
                      <w:sz w:val="22"/>
                      <w:szCs w:val="22"/>
                    </w:rPr>
                  </w:pPr>
                </w:p>
                <w:p w:rsidR="00A173CF" w:rsidRDefault="00A173CF" w:rsidP="00706E6E">
                  <w:pPr>
                    <w:autoSpaceDE w:val="0"/>
                    <w:autoSpaceDN w:val="0"/>
                    <w:adjustRightInd w:val="0"/>
                    <w:rPr>
                      <w:sz w:val="22"/>
                      <w:szCs w:val="22"/>
                    </w:rPr>
                  </w:pPr>
                </w:p>
                <w:p w:rsidR="00BE758E" w:rsidRPr="00F5244B" w:rsidRDefault="00BE758E" w:rsidP="00BE758E">
                  <w:pPr>
                    <w:pStyle w:val="Default"/>
                    <w:rPr>
                      <w:sz w:val="22"/>
                      <w:szCs w:val="22"/>
                      <w:u w:val="single"/>
                    </w:rPr>
                  </w:pPr>
                  <w:r w:rsidRPr="00F5244B">
                    <w:rPr>
                      <w:sz w:val="22"/>
                      <w:szCs w:val="22"/>
                      <w:u w:val="single"/>
                    </w:rPr>
                    <w:t xml:space="preserve">(Strike Level - Maximum Index Level) x one Board Lot x Index Currency Amount </w:t>
                  </w:r>
                </w:p>
                <w:p w:rsidR="00BE758E" w:rsidRPr="00A00DDD" w:rsidRDefault="00BE758E" w:rsidP="00706E6E">
                  <w:pPr>
                    <w:autoSpaceDE w:val="0"/>
                    <w:autoSpaceDN w:val="0"/>
                    <w:adjustRightInd w:val="0"/>
                    <w:rPr>
                      <w:rFonts w:eastAsia="Calibri"/>
                      <w:color w:val="000000"/>
                      <w:sz w:val="22"/>
                      <w:szCs w:val="22"/>
                      <w:lang w:val="en-US"/>
                    </w:rPr>
                  </w:pPr>
                  <w:r w:rsidRPr="00A00DDD">
                    <w:rPr>
                      <w:rFonts w:eastAsia="Calibri"/>
                      <w:color w:val="000000"/>
                      <w:sz w:val="22"/>
                      <w:szCs w:val="22"/>
                      <w:lang w:val="en-US"/>
                    </w:rPr>
                    <w:t xml:space="preserve">                                                           Divisor</w:t>
                  </w:r>
                </w:p>
              </w:tc>
            </w:tr>
            <w:tr w:rsidR="00BE758E" w:rsidRPr="00706E6E">
              <w:trPr>
                <w:trHeight w:val="145"/>
              </w:trPr>
              <w:tc>
                <w:tcPr>
                  <w:tcW w:w="9093" w:type="dxa"/>
                </w:tcPr>
                <w:p w:rsidR="00BE758E" w:rsidRPr="00A00DDD" w:rsidRDefault="00BE758E" w:rsidP="00706E6E">
                  <w:pPr>
                    <w:autoSpaceDE w:val="0"/>
                    <w:autoSpaceDN w:val="0"/>
                    <w:adjustRightInd w:val="0"/>
                    <w:rPr>
                      <w:rFonts w:eastAsia="Calibri"/>
                      <w:color w:val="000000"/>
                      <w:sz w:val="22"/>
                      <w:szCs w:val="22"/>
                      <w:lang w:val="en-US"/>
                    </w:rPr>
                  </w:pPr>
                </w:p>
              </w:tc>
            </w:tr>
          </w:tbl>
          <w:p w:rsidR="00706E6E" w:rsidRDefault="00706E6E" w:rsidP="00BE758E">
            <w:pPr>
              <w:autoSpaceDE w:val="0"/>
              <w:autoSpaceDN w:val="0"/>
              <w:adjustRightInd w:val="0"/>
              <w:rPr>
                <w:rFonts w:eastAsia="Calibri"/>
                <w:color w:val="000000"/>
                <w:sz w:val="22"/>
                <w:szCs w:val="22"/>
                <w:lang w:val="en-US"/>
              </w:rPr>
            </w:pPr>
          </w:p>
          <w:p w:rsidR="00A173CF" w:rsidRPr="00A00DDD" w:rsidRDefault="00A173CF" w:rsidP="00BE758E">
            <w:pPr>
              <w:autoSpaceDE w:val="0"/>
              <w:autoSpaceDN w:val="0"/>
              <w:adjustRightInd w:val="0"/>
              <w:rPr>
                <w:rFonts w:eastAsia="Calibri"/>
                <w:color w:val="000000"/>
                <w:sz w:val="22"/>
                <w:szCs w:val="22"/>
                <w:lang w:val="en-US"/>
              </w:rPr>
            </w:pPr>
          </w:p>
          <w:p w:rsidR="00BE758E" w:rsidRPr="00F5244B" w:rsidRDefault="00BE758E" w:rsidP="00BE758E">
            <w:pPr>
              <w:pStyle w:val="Default"/>
              <w:rPr>
                <w:sz w:val="22"/>
                <w:szCs w:val="22"/>
              </w:rPr>
            </w:pPr>
            <w:r w:rsidRPr="00F5244B">
              <w:rPr>
                <w:sz w:val="22"/>
                <w:szCs w:val="22"/>
              </w:rPr>
              <w:t xml:space="preserve">Subject to Settlement Disruption Event, all eligible CBBCs holders will receive the Residual Value </w:t>
            </w:r>
            <w:r w:rsidR="001365DA" w:rsidRPr="00F5244B">
              <w:rPr>
                <w:sz w:val="22"/>
                <w:szCs w:val="22"/>
              </w:rPr>
              <w:t>(</w:t>
            </w:r>
            <w:r w:rsidRPr="00F5244B">
              <w:rPr>
                <w:sz w:val="22"/>
                <w:szCs w:val="22"/>
              </w:rPr>
              <w:t xml:space="preserve">if any) no later </w:t>
            </w:r>
            <w:r w:rsidRPr="00F5244B">
              <w:rPr>
                <w:color w:val="auto"/>
                <w:sz w:val="22"/>
                <w:szCs w:val="22"/>
              </w:rPr>
              <w:t xml:space="preserve">than </w:t>
            </w:r>
            <w:r w:rsidR="00AD0F86">
              <w:rPr>
                <w:color w:val="auto"/>
                <w:sz w:val="22"/>
                <w:szCs w:val="22"/>
              </w:rPr>
              <w:t>15 Dec 2021</w:t>
            </w:r>
            <w:r w:rsidRPr="00F5244B">
              <w:rPr>
                <w:color w:val="auto"/>
                <w:sz w:val="22"/>
                <w:szCs w:val="22"/>
              </w:rPr>
              <w:t>, being</w:t>
            </w:r>
            <w:r w:rsidRPr="00F5244B">
              <w:rPr>
                <w:sz w:val="22"/>
                <w:szCs w:val="22"/>
              </w:rPr>
              <w:t xml:space="preserve"> the third CCASS Settlement Day following the end of the MCE Valuation Period.</w:t>
            </w:r>
          </w:p>
          <w:p w:rsidR="00BE758E" w:rsidRPr="00F5244B" w:rsidRDefault="00BE758E" w:rsidP="00BE758E">
            <w:pPr>
              <w:pStyle w:val="Default"/>
              <w:jc w:val="center"/>
              <w:rPr>
                <w:sz w:val="22"/>
                <w:szCs w:val="22"/>
              </w:rPr>
            </w:pPr>
          </w:p>
          <w:p w:rsidR="00810CA8" w:rsidRPr="00B9281D" w:rsidRDefault="00810CA8" w:rsidP="00810CA8">
            <w:pPr>
              <w:jc w:val="both"/>
              <w:rPr>
                <w:rFonts w:eastAsia="SimSun"/>
                <w:color w:val="000000"/>
                <w:sz w:val="22"/>
                <w:szCs w:val="22"/>
                <w:lang w:val="en-US"/>
              </w:rPr>
            </w:pPr>
            <w:r w:rsidRPr="00B9281D">
              <w:rPr>
                <w:rFonts w:eastAsia="SimSun"/>
                <w:color w:val="000000"/>
                <w:sz w:val="22"/>
                <w:szCs w:val="22"/>
                <w:lang w:val="en-US"/>
              </w:rPr>
              <w:t xml:space="preserve">All capitalised terms not defined in this </w:t>
            </w:r>
            <w:r w:rsidR="0078085D">
              <w:rPr>
                <w:rFonts w:eastAsia="SimSun"/>
                <w:color w:val="000000"/>
                <w:sz w:val="22"/>
                <w:szCs w:val="22"/>
                <w:lang w:val="en-US"/>
              </w:rPr>
              <w:t xml:space="preserve">notice </w:t>
            </w:r>
            <w:r w:rsidRPr="00B9281D">
              <w:rPr>
                <w:rFonts w:eastAsia="SimSun"/>
                <w:color w:val="000000"/>
                <w:sz w:val="22"/>
                <w:szCs w:val="22"/>
                <w:lang w:val="en-US"/>
              </w:rPr>
              <w:t xml:space="preserve">have the same meaning as defined in the </w:t>
            </w:r>
            <w:r w:rsidR="001C7297" w:rsidRPr="00B9281D">
              <w:rPr>
                <w:rFonts w:eastAsia="SimSun"/>
                <w:color w:val="000000"/>
                <w:sz w:val="22"/>
                <w:szCs w:val="22"/>
                <w:lang w:val="en-US"/>
              </w:rPr>
              <w:t>Conditions</w:t>
            </w:r>
            <w:r w:rsidRPr="00B9281D">
              <w:rPr>
                <w:rFonts w:eastAsia="SimSun"/>
                <w:color w:val="000000"/>
                <w:sz w:val="22"/>
                <w:szCs w:val="22"/>
                <w:lang w:val="en-US"/>
              </w:rPr>
              <w:t xml:space="preserve">. </w:t>
            </w:r>
          </w:p>
          <w:p w:rsidR="00BE758E" w:rsidRPr="00F5244B" w:rsidRDefault="00BE758E" w:rsidP="00BE758E">
            <w:pPr>
              <w:pStyle w:val="Default"/>
              <w:jc w:val="center"/>
              <w:rPr>
                <w:sz w:val="22"/>
                <w:szCs w:val="22"/>
              </w:rPr>
            </w:pPr>
          </w:p>
          <w:p w:rsidR="00BE758E" w:rsidRPr="00A00DDD" w:rsidRDefault="00BE758E" w:rsidP="00922E5E">
            <w:pPr>
              <w:autoSpaceDE w:val="0"/>
              <w:autoSpaceDN w:val="0"/>
              <w:adjustRightInd w:val="0"/>
              <w:rPr>
                <w:rFonts w:eastAsia="Calibri"/>
                <w:color w:val="000000"/>
                <w:sz w:val="22"/>
                <w:szCs w:val="22"/>
                <w:lang w:val="en-US"/>
              </w:rPr>
            </w:pPr>
            <w:r>
              <w:rPr>
                <w:sz w:val="22"/>
                <w:szCs w:val="22"/>
              </w:rPr>
              <w:t xml:space="preserve">Hong </w:t>
            </w:r>
            <w:r w:rsidRPr="00D87E4F">
              <w:rPr>
                <w:sz w:val="22"/>
                <w:szCs w:val="22"/>
              </w:rPr>
              <w:t xml:space="preserve">Kong, </w:t>
            </w:r>
            <w:r w:rsidR="00AD0F86">
              <w:rPr>
                <w:sz w:val="22"/>
                <w:szCs w:val="22"/>
              </w:rPr>
              <w:t>10 Dec 2021</w:t>
            </w:r>
          </w:p>
        </w:tc>
      </w:tr>
    </w:tbl>
    <w:p w:rsidR="00D90FD5" w:rsidRDefault="00D90FD5" w:rsidP="0029226D">
      <w:pPr>
        <w:jc w:val="center"/>
      </w:pPr>
    </w:p>
    <w:sectPr w:rsidR="00D90FD5" w:rsidSect="0034426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52" w:rsidRDefault="00886052" w:rsidP="008043DB">
      <w:r>
        <w:separator/>
      </w:r>
    </w:p>
  </w:endnote>
  <w:endnote w:type="continuationSeparator" w:id="0">
    <w:p w:rsidR="00886052" w:rsidRDefault="00886052" w:rsidP="0080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DB" w:rsidRDefault="00D87FB2">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DB" w:rsidRDefault="00D87FB2">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DB" w:rsidRDefault="00D87FB2">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52" w:rsidRDefault="00886052" w:rsidP="008043DB">
      <w:r>
        <w:separator/>
      </w:r>
    </w:p>
  </w:footnote>
  <w:footnote w:type="continuationSeparator" w:id="0">
    <w:p w:rsidR="00886052" w:rsidRDefault="00886052" w:rsidP="0080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DB" w:rsidRDefault="008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DB" w:rsidRDefault="00804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DB" w:rsidRDefault="00804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B76F8"/>
    <w:rsid w:val="0010067D"/>
    <w:rsid w:val="001059CD"/>
    <w:rsid w:val="001365DA"/>
    <w:rsid w:val="001C4F3F"/>
    <w:rsid w:val="001C7297"/>
    <w:rsid w:val="002366C8"/>
    <w:rsid w:val="00251DFE"/>
    <w:rsid w:val="0029226D"/>
    <w:rsid w:val="002B6BFC"/>
    <w:rsid w:val="00344264"/>
    <w:rsid w:val="003644D4"/>
    <w:rsid w:val="003C2736"/>
    <w:rsid w:val="00424D04"/>
    <w:rsid w:val="0049221D"/>
    <w:rsid w:val="004B5118"/>
    <w:rsid w:val="004D5BEC"/>
    <w:rsid w:val="00500081"/>
    <w:rsid w:val="00546CC1"/>
    <w:rsid w:val="005B7C7B"/>
    <w:rsid w:val="005C78CE"/>
    <w:rsid w:val="005D6332"/>
    <w:rsid w:val="00602E3D"/>
    <w:rsid w:val="00612AA9"/>
    <w:rsid w:val="00706E6E"/>
    <w:rsid w:val="00765843"/>
    <w:rsid w:val="0078085D"/>
    <w:rsid w:val="007A00AD"/>
    <w:rsid w:val="007B50C6"/>
    <w:rsid w:val="007C5D11"/>
    <w:rsid w:val="008043DB"/>
    <w:rsid w:val="00810CA8"/>
    <w:rsid w:val="0081235F"/>
    <w:rsid w:val="00886052"/>
    <w:rsid w:val="00922E5E"/>
    <w:rsid w:val="0099378F"/>
    <w:rsid w:val="009D40A4"/>
    <w:rsid w:val="00A00DDD"/>
    <w:rsid w:val="00A173CF"/>
    <w:rsid w:val="00A96A1A"/>
    <w:rsid w:val="00AC1A63"/>
    <w:rsid w:val="00AD0F86"/>
    <w:rsid w:val="00B0297B"/>
    <w:rsid w:val="00B9281D"/>
    <w:rsid w:val="00BB2755"/>
    <w:rsid w:val="00BD1216"/>
    <w:rsid w:val="00BE758E"/>
    <w:rsid w:val="00C73ACB"/>
    <w:rsid w:val="00CD196B"/>
    <w:rsid w:val="00D02B20"/>
    <w:rsid w:val="00D87E4F"/>
    <w:rsid w:val="00D87FB2"/>
    <w:rsid w:val="00D90FD5"/>
    <w:rsid w:val="00E5540C"/>
    <w:rsid w:val="00E921C0"/>
    <w:rsid w:val="00EB6FF5"/>
    <w:rsid w:val="00F5244B"/>
    <w:rsid w:val="00F55FD7"/>
    <w:rsid w:val="00FF6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E8EB9-3308-42BC-A3AB-8C8F73F6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paragraph" w:styleId="Header">
    <w:name w:val="header"/>
    <w:basedOn w:val="Normal"/>
    <w:link w:val="HeaderChar"/>
    <w:uiPriority w:val="99"/>
    <w:unhideWhenUsed/>
    <w:rsid w:val="008043DB"/>
    <w:pPr>
      <w:tabs>
        <w:tab w:val="center" w:pos="4680"/>
        <w:tab w:val="right" w:pos="9360"/>
      </w:tabs>
    </w:pPr>
  </w:style>
  <w:style w:type="character" w:customStyle="1" w:styleId="HeaderChar">
    <w:name w:val="Header Char"/>
    <w:link w:val="Header"/>
    <w:uiPriority w:val="99"/>
    <w:rsid w:val="008043D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043DB"/>
    <w:pPr>
      <w:tabs>
        <w:tab w:val="center" w:pos="4680"/>
        <w:tab w:val="right" w:pos="9360"/>
      </w:tabs>
    </w:pPr>
  </w:style>
  <w:style w:type="character" w:customStyle="1" w:styleId="FooterChar">
    <w:name w:val="Footer Char"/>
    <w:link w:val="Footer"/>
    <w:uiPriority w:val="99"/>
    <w:rsid w:val="008043DB"/>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80A6-DC18-4FEA-9558-A8B8881A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Daniel Lo</cp:lastModifiedBy>
  <cp:revision>2</cp:revision>
  <cp:lastPrinted>2014-10-08T07:50:00Z</cp:lastPrinted>
  <dcterms:created xsi:type="dcterms:W3CDTF">2021-12-10T08:14:00Z</dcterms:created>
  <dcterms:modified xsi:type="dcterms:W3CDTF">2021-12-10T08:14:00Z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