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54F" w14:textId="77777777" w:rsidR="006720CA" w:rsidRDefault="006720CA" w:rsidP="006720CA">
      <w:pPr>
        <w:spacing w:before="68"/>
        <w:ind w:left="112" w:right="113"/>
        <w:jc w:val="both"/>
        <w:rPr>
          <w:i/>
          <w:sz w:val="24"/>
        </w:rPr>
      </w:pPr>
      <w:r>
        <w:rPr>
          <w:i/>
          <w:sz w:val="24"/>
        </w:rPr>
        <w:t>Hong Kong Exchanges and Clearing Limited and The Stock Exchange of Hong Kong Limited take no responsibility for the contents of this announcement, make no representation as to its accuracy</w:t>
      </w:r>
      <w:r>
        <w:rPr>
          <w:i/>
          <w:spacing w:val="40"/>
          <w:sz w:val="24"/>
        </w:rPr>
        <w:t xml:space="preserve"> </w:t>
      </w:r>
      <w:r>
        <w:rPr>
          <w:i/>
          <w:sz w:val="24"/>
        </w:rPr>
        <w:t>or completeness and expressly disclaim any liability whatsoever for any loss howsoever arising from or in reliance upon the whole or any part of the contents of this announcement.</w:t>
      </w:r>
    </w:p>
    <w:p w14:paraId="7CB32446" w14:textId="77777777" w:rsidR="006720CA" w:rsidRDefault="006720CA" w:rsidP="006720CA">
      <w:pPr>
        <w:pStyle w:val="BodyText"/>
        <w:rPr>
          <w:i/>
          <w:sz w:val="22"/>
        </w:rPr>
      </w:pPr>
      <w:r>
        <w:rPr>
          <w:noProof/>
          <w:lang w:val="en-GB" w:eastAsia="zh-TW"/>
        </w:rPr>
        <w:drawing>
          <wp:anchor distT="0" distB="0" distL="0" distR="0" simplePos="0" relativeHeight="251659264" behindDoc="0" locked="0" layoutInCell="1" allowOverlap="1" wp14:anchorId="336FEB31" wp14:editId="679E86BF">
            <wp:simplePos x="0" y="0"/>
            <wp:positionH relativeFrom="page">
              <wp:posOffset>1991995</wp:posOffset>
            </wp:positionH>
            <wp:positionV relativeFrom="paragraph">
              <wp:posOffset>176335</wp:posOffset>
            </wp:positionV>
            <wp:extent cx="3568964" cy="17876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68964" cy="1787652"/>
                    </a:xfrm>
                    <a:prstGeom prst="rect">
                      <a:avLst/>
                    </a:prstGeom>
                  </pic:spPr>
                </pic:pic>
              </a:graphicData>
            </a:graphic>
          </wp:anchor>
        </w:drawing>
      </w:r>
    </w:p>
    <w:p w14:paraId="73601DA6" w14:textId="4F47A6E9" w:rsidR="006720CA" w:rsidRPr="0090602D" w:rsidRDefault="006720CA" w:rsidP="0090602D">
      <w:pPr>
        <w:pStyle w:val="Title"/>
        <w:ind w:left="0" w:firstLine="0"/>
        <w:jc w:val="center"/>
        <w:rPr>
          <w:sz w:val="20"/>
          <w:szCs w:val="20"/>
        </w:rPr>
      </w:pPr>
      <w:r w:rsidRPr="0090602D">
        <w:rPr>
          <w:sz w:val="20"/>
          <w:szCs w:val="20"/>
        </w:rPr>
        <w:t xml:space="preserve">(In </w:t>
      </w:r>
      <w:r w:rsidR="007617CF">
        <w:rPr>
          <w:sz w:val="20"/>
          <w:szCs w:val="20"/>
        </w:rPr>
        <w:t xml:space="preserve">Compulsory </w:t>
      </w:r>
      <w:r w:rsidRPr="0090602D">
        <w:rPr>
          <w:sz w:val="20"/>
          <w:szCs w:val="20"/>
        </w:rPr>
        <w:t>Liquidation)</w:t>
      </w:r>
    </w:p>
    <w:p w14:paraId="1B7A467B" w14:textId="77777777" w:rsidR="0090602D" w:rsidRPr="0090602D" w:rsidRDefault="0090602D" w:rsidP="006720CA">
      <w:pPr>
        <w:pStyle w:val="Title"/>
        <w:ind w:left="0" w:firstLine="0"/>
        <w:jc w:val="center"/>
        <w:rPr>
          <w:rFonts w:eastAsiaTheme="minorEastAsia"/>
          <w:sz w:val="20"/>
          <w:szCs w:val="20"/>
          <w:lang w:val="en-HK" w:eastAsia="zh-TW"/>
        </w:rPr>
      </w:pPr>
    </w:p>
    <w:p w14:paraId="46E2A7E3" w14:textId="4392D0A1" w:rsidR="006720CA" w:rsidRDefault="00AF3EFE" w:rsidP="006720CA">
      <w:pPr>
        <w:pStyle w:val="Title"/>
        <w:ind w:left="0" w:firstLine="0"/>
        <w:jc w:val="center"/>
      </w:pPr>
      <w:r>
        <w:t>QUARTERL</w:t>
      </w:r>
      <w:r w:rsidR="00B05B08">
        <w:t>Y</w:t>
      </w:r>
      <w:r>
        <w:t xml:space="preserve"> UPDATE ANNOU</w:t>
      </w:r>
      <w:r w:rsidR="00307E5C">
        <w:t>N</w:t>
      </w:r>
      <w:r>
        <w:t>CEMENT</w:t>
      </w:r>
    </w:p>
    <w:p w14:paraId="004F814A" w14:textId="77777777" w:rsidR="006720CA" w:rsidRDefault="006720CA" w:rsidP="00AF3EFE">
      <w:pPr>
        <w:pStyle w:val="Title"/>
        <w:ind w:left="0" w:firstLine="0"/>
      </w:pPr>
    </w:p>
    <w:p w14:paraId="1E4C90BC" w14:textId="62A49137" w:rsidR="00AF3EFE" w:rsidRPr="006C69E1" w:rsidRDefault="00AF3EFE" w:rsidP="00AF3EFE">
      <w:pPr>
        <w:pStyle w:val="BodyText"/>
        <w:spacing w:before="1"/>
        <w:ind w:left="112" w:right="108"/>
        <w:jc w:val="both"/>
      </w:pPr>
      <w:r w:rsidRPr="006C69E1">
        <w:t>The announcement is made by Kirin Group Holdings Limited (the “</w:t>
      </w:r>
      <w:r w:rsidRPr="006C69E1">
        <w:rPr>
          <w:b/>
          <w:bCs/>
        </w:rPr>
        <w:t>Company</w:t>
      </w:r>
      <w:r w:rsidRPr="006C69E1">
        <w:t xml:space="preserve">”) pursuant to </w:t>
      </w:r>
      <w:r w:rsidR="007617CF" w:rsidRPr="006C69E1">
        <w:t>Rule 17.26A of the Rules Governing the Listing of Securities on the GEM of the Stock Exchange of Hong Kong Limited</w:t>
      </w:r>
      <w:r w:rsidR="006C69E1" w:rsidRPr="006C69E1">
        <w:t xml:space="preserve"> (the </w:t>
      </w:r>
      <w:r w:rsidR="006C69E1" w:rsidRPr="006C69E1">
        <w:rPr>
          <w:b/>
          <w:bCs/>
        </w:rPr>
        <w:t>“Stock Exchange”</w:t>
      </w:r>
      <w:r w:rsidR="006C69E1" w:rsidRPr="006C69E1">
        <w:t>)</w:t>
      </w:r>
      <w:r w:rsidR="007617CF" w:rsidRPr="006C69E1">
        <w:t xml:space="preserve"> (the “</w:t>
      </w:r>
      <w:r w:rsidR="007617CF" w:rsidRPr="006C69E1">
        <w:rPr>
          <w:b/>
          <w:bCs/>
        </w:rPr>
        <w:t>Listing Rules</w:t>
      </w:r>
      <w:r w:rsidR="007617CF" w:rsidRPr="006C69E1">
        <w:t>”) and the Inside Information Provisions (as defined under the Listing Rules) under Part XIVA of the Securities and Futures Ordinance (Chapter 571 of the Laws of Hong Kong).</w:t>
      </w:r>
    </w:p>
    <w:p w14:paraId="0E3B6C81" w14:textId="77777777" w:rsidR="006720CA" w:rsidRPr="003C61F4" w:rsidRDefault="006720CA" w:rsidP="006720CA">
      <w:pPr>
        <w:pStyle w:val="BodyText"/>
        <w:spacing w:before="1"/>
        <w:ind w:left="112" w:right="108"/>
        <w:jc w:val="both"/>
        <w:rPr>
          <w:b/>
          <w:bCs/>
          <w:highlight w:val="lightGray"/>
        </w:rPr>
      </w:pPr>
    </w:p>
    <w:p w14:paraId="4E7F488A" w14:textId="540E532E" w:rsidR="006720CA" w:rsidRPr="003C61F4" w:rsidRDefault="00BB356F" w:rsidP="00BB356F">
      <w:pPr>
        <w:pStyle w:val="BodyText"/>
        <w:spacing w:before="1"/>
        <w:ind w:left="142" w:right="108"/>
        <w:jc w:val="both"/>
        <w:rPr>
          <w:highlight w:val="lightGray"/>
        </w:rPr>
      </w:pPr>
      <w:r w:rsidRPr="006C69E1">
        <w:t>References are made to the announcements of the Company dated</w:t>
      </w:r>
      <w:r w:rsidR="003D7043" w:rsidRPr="006C69E1">
        <w:t xml:space="preserve"> 14 December 2021</w:t>
      </w:r>
      <w:r w:rsidR="00893C26" w:rsidRPr="006C69E1">
        <w:t>, 7 January 2022,</w:t>
      </w:r>
      <w:r w:rsidRPr="006C69E1">
        <w:t xml:space="preserve"> 12 May 2022 and 25 May 2022 (collectively “the </w:t>
      </w:r>
      <w:r w:rsidRPr="006C69E1">
        <w:rPr>
          <w:b/>
          <w:bCs/>
        </w:rPr>
        <w:t>Announcements</w:t>
      </w:r>
      <w:r w:rsidRPr="006C69E1">
        <w:t>”) in respect of the</w:t>
      </w:r>
      <w:r w:rsidR="00893C26" w:rsidRPr="006C69E1">
        <w:t xml:space="preserve"> winding-up order made against the Company and the</w:t>
      </w:r>
      <w:r w:rsidRPr="006C69E1">
        <w:t xml:space="preserve"> resumption guidance.  Unless otherwise defined herein, capitalized terms used in this announcement shall have the same meanings as those defined in the Announcements.</w:t>
      </w:r>
    </w:p>
    <w:p w14:paraId="106F248C" w14:textId="4499E507" w:rsidR="00BB356F" w:rsidRPr="006C69E1" w:rsidRDefault="00BB356F" w:rsidP="00BB356F">
      <w:pPr>
        <w:pStyle w:val="BodyText"/>
        <w:spacing w:before="1"/>
        <w:ind w:left="142" w:right="108"/>
        <w:jc w:val="both"/>
      </w:pPr>
    </w:p>
    <w:p w14:paraId="5EF404CC" w14:textId="4FFFA728" w:rsidR="00893C26" w:rsidRPr="006C69E1" w:rsidRDefault="00893C26" w:rsidP="00BB356F">
      <w:pPr>
        <w:pStyle w:val="BodyText"/>
        <w:spacing w:before="1"/>
        <w:ind w:left="142" w:right="108"/>
        <w:jc w:val="both"/>
        <w:rPr>
          <w:b/>
          <w:bCs/>
        </w:rPr>
      </w:pPr>
      <w:r w:rsidRPr="006C69E1">
        <w:rPr>
          <w:b/>
          <w:bCs/>
        </w:rPr>
        <w:t>UPDATE ON BUSINESS OPERATIONS</w:t>
      </w:r>
    </w:p>
    <w:p w14:paraId="1DBC8D00" w14:textId="657A0487" w:rsidR="00893C26" w:rsidRPr="006C69E1" w:rsidRDefault="00893C26" w:rsidP="00BB356F">
      <w:pPr>
        <w:pStyle w:val="BodyText"/>
        <w:spacing w:before="1"/>
        <w:ind w:left="142" w:right="108"/>
        <w:jc w:val="both"/>
        <w:rPr>
          <w:b/>
          <w:bCs/>
        </w:rPr>
      </w:pPr>
    </w:p>
    <w:p w14:paraId="20A5ADF0" w14:textId="383AE689" w:rsidR="00893C26" w:rsidRPr="006C69E1" w:rsidRDefault="00223C7B" w:rsidP="00BB356F">
      <w:pPr>
        <w:pStyle w:val="BodyText"/>
        <w:spacing w:before="1"/>
        <w:ind w:left="142" w:right="108"/>
        <w:jc w:val="both"/>
      </w:pPr>
      <w:r w:rsidRPr="006C69E1">
        <w:t>The Liquidators are still taking steps to ascertain the status of the Company’s business operations.  Further announcements will be made by the Company to provide updates on the business operations of the Company as and when required.</w:t>
      </w:r>
    </w:p>
    <w:p w14:paraId="3C733032" w14:textId="77777777" w:rsidR="00893C26" w:rsidRPr="003C61F4" w:rsidRDefault="00893C26" w:rsidP="00BB356F">
      <w:pPr>
        <w:pStyle w:val="BodyText"/>
        <w:spacing w:before="1"/>
        <w:ind w:left="142" w:right="108"/>
        <w:jc w:val="both"/>
        <w:rPr>
          <w:highlight w:val="lightGray"/>
        </w:rPr>
      </w:pPr>
    </w:p>
    <w:p w14:paraId="49ADD2DB" w14:textId="264DF723" w:rsidR="00BB356F" w:rsidRPr="006C69E1" w:rsidRDefault="00BB356F" w:rsidP="00BB356F">
      <w:pPr>
        <w:pStyle w:val="BodyText"/>
        <w:spacing w:before="1"/>
        <w:ind w:left="112" w:right="108"/>
        <w:jc w:val="both"/>
        <w:rPr>
          <w:b/>
        </w:rPr>
      </w:pPr>
      <w:r w:rsidRPr="006C69E1">
        <w:rPr>
          <w:b/>
        </w:rPr>
        <w:t>UPDATE ON APPOINTMENT OF LIQUIDATORS</w:t>
      </w:r>
    </w:p>
    <w:p w14:paraId="180EB4D6" w14:textId="073C3549" w:rsidR="00FC0717" w:rsidRPr="003C61F4" w:rsidRDefault="00FC0717" w:rsidP="00BB356F">
      <w:pPr>
        <w:pStyle w:val="BodyText"/>
        <w:spacing w:before="1"/>
        <w:ind w:left="112" w:right="108"/>
        <w:jc w:val="both"/>
        <w:rPr>
          <w:b/>
          <w:highlight w:val="lightGray"/>
        </w:rPr>
      </w:pPr>
    </w:p>
    <w:p w14:paraId="2BD4E632" w14:textId="004E058B" w:rsidR="00FC0717" w:rsidRPr="006C69E1" w:rsidRDefault="00223C7B" w:rsidP="00BB356F">
      <w:pPr>
        <w:pStyle w:val="BodyText"/>
        <w:spacing w:before="1"/>
        <w:ind w:left="112" w:right="108"/>
        <w:jc w:val="both"/>
        <w:rPr>
          <w:bCs/>
        </w:rPr>
      </w:pPr>
      <w:r w:rsidRPr="006C69E1">
        <w:rPr>
          <w:bCs/>
        </w:rPr>
        <w:t>As disclosed in the announcement of the Company dated 12 May 2022, p</w:t>
      </w:r>
      <w:r w:rsidR="00FC0717" w:rsidRPr="006C69E1">
        <w:rPr>
          <w:bCs/>
        </w:rPr>
        <w:t>ursuant to the Regulating Order of the High Court dated 29 April 2022, Messrs. Osman Mohammed Arab and Wong Kwok Keung, both of RSM Corporate Advisory (Hong Kong) Limited, were appointed Joint and Several Liquidators of the Company.</w:t>
      </w:r>
    </w:p>
    <w:p w14:paraId="2F088CCC" w14:textId="77777777" w:rsidR="00482CF2" w:rsidRPr="006C69E1" w:rsidRDefault="00482CF2" w:rsidP="00D0022B">
      <w:pPr>
        <w:pStyle w:val="BodyText"/>
        <w:spacing w:before="1"/>
        <w:ind w:right="108"/>
        <w:jc w:val="both"/>
      </w:pPr>
    </w:p>
    <w:p w14:paraId="04C2BE3E" w14:textId="082C78B9" w:rsidR="00706415" w:rsidRPr="006C69E1" w:rsidRDefault="00706415" w:rsidP="006720CA">
      <w:pPr>
        <w:pStyle w:val="BodyText"/>
        <w:spacing w:before="1"/>
        <w:ind w:left="112" w:right="108"/>
        <w:jc w:val="both"/>
        <w:rPr>
          <w:b/>
        </w:rPr>
      </w:pPr>
      <w:r w:rsidRPr="006C69E1">
        <w:rPr>
          <w:b/>
        </w:rPr>
        <w:t>UPDATE ON THE ADDITIONAL RESUMPTION GUIDANCE</w:t>
      </w:r>
    </w:p>
    <w:p w14:paraId="2D200A88" w14:textId="4140CC27" w:rsidR="00706415" w:rsidRPr="006C69E1" w:rsidRDefault="00706415" w:rsidP="006720CA">
      <w:pPr>
        <w:pStyle w:val="BodyText"/>
        <w:spacing w:before="1"/>
        <w:ind w:left="112" w:right="108"/>
        <w:jc w:val="both"/>
        <w:rPr>
          <w:b/>
        </w:rPr>
      </w:pPr>
    </w:p>
    <w:p w14:paraId="13078182" w14:textId="05A41411" w:rsidR="00706415" w:rsidRPr="006C69E1" w:rsidRDefault="00706415" w:rsidP="0088240A">
      <w:pPr>
        <w:widowControl/>
        <w:adjustRightInd w:val="0"/>
        <w:ind w:left="142"/>
        <w:jc w:val="both"/>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As disclosed in the Announcement</w:t>
      </w:r>
      <w:r w:rsidR="007A1B77" w:rsidRPr="006C69E1">
        <w:rPr>
          <w:rFonts w:ascii="TimesNewRomanPSMT" w:eastAsiaTheme="minorEastAsia" w:hAnsi="TimesNewRomanPSMT" w:cs="TimesNewRomanPSMT"/>
          <w:sz w:val="24"/>
          <w:szCs w:val="24"/>
          <w:lang w:val="en-HK" w:eastAsia="zh-TW"/>
        </w:rPr>
        <w:t>s</w:t>
      </w:r>
      <w:r w:rsidRPr="006C69E1">
        <w:rPr>
          <w:rFonts w:ascii="TimesNewRomanPSMT" w:eastAsiaTheme="minorEastAsia" w:hAnsi="TimesNewRomanPSMT" w:cs="TimesNewRomanPSMT"/>
          <w:sz w:val="24"/>
          <w:szCs w:val="24"/>
          <w:lang w:val="en-HK" w:eastAsia="zh-TW"/>
        </w:rPr>
        <w:t>, the Stock Exchange sets out the</w:t>
      </w:r>
      <w:r w:rsidR="0088240A" w:rsidRPr="006C69E1">
        <w:rPr>
          <w:rFonts w:ascii="TimesNewRomanPSMT" w:eastAsiaTheme="minorEastAsia" w:hAnsi="TimesNewRomanPSMT" w:cs="TimesNewRomanPSMT"/>
          <w:sz w:val="24"/>
          <w:szCs w:val="24"/>
          <w:lang w:val="en-HK" w:eastAsia="zh-TW"/>
        </w:rPr>
        <w:t xml:space="preserve"> </w:t>
      </w:r>
      <w:r w:rsidRPr="006C69E1">
        <w:rPr>
          <w:rFonts w:ascii="TimesNewRomanPSMT" w:eastAsiaTheme="minorEastAsia" w:hAnsi="TimesNewRomanPSMT" w:cs="TimesNewRomanPSMT"/>
          <w:sz w:val="24"/>
          <w:szCs w:val="24"/>
          <w:lang w:val="en-HK" w:eastAsia="zh-TW"/>
        </w:rPr>
        <w:t>following conditions for the resumption of trading in the shares of the Company:</w:t>
      </w:r>
    </w:p>
    <w:p w14:paraId="12074D77" w14:textId="2C82619E" w:rsidR="00315867" w:rsidRPr="003C61F4" w:rsidRDefault="00315867">
      <w:pPr>
        <w:widowControl/>
        <w:autoSpaceDE/>
        <w:autoSpaceDN/>
        <w:spacing w:after="160" w:line="259" w:lineRule="auto"/>
        <w:rPr>
          <w:rFonts w:ascii="TimesNewRomanPSMT" w:eastAsiaTheme="minorEastAsia" w:hAnsi="TimesNewRomanPSMT" w:cs="TimesNewRomanPSMT"/>
          <w:sz w:val="24"/>
          <w:szCs w:val="24"/>
          <w:highlight w:val="lightGray"/>
          <w:lang w:val="en-HK" w:eastAsia="zh-TW"/>
        </w:rPr>
      </w:pPr>
      <w:r w:rsidRPr="003C61F4">
        <w:rPr>
          <w:rFonts w:ascii="TimesNewRomanPSMT" w:eastAsiaTheme="minorEastAsia" w:hAnsi="TimesNewRomanPSMT" w:cs="TimesNewRomanPSMT"/>
          <w:sz w:val="24"/>
          <w:szCs w:val="24"/>
          <w:highlight w:val="lightGray"/>
          <w:lang w:val="en-HK" w:eastAsia="zh-TW"/>
        </w:rPr>
        <w:br w:type="page"/>
      </w:r>
    </w:p>
    <w:p w14:paraId="20E7AB10" w14:textId="77777777" w:rsidR="0088240A" w:rsidRPr="006C69E1" w:rsidRDefault="0088240A" w:rsidP="0088240A">
      <w:pPr>
        <w:widowControl/>
        <w:adjustRightInd w:val="0"/>
        <w:ind w:left="142"/>
        <w:jc w:val="both"/>
        <w:rPr>
          <w:rFonts w:ascii="TimesNewRomanPSMT" w:eastAsiaTheme="minorEastAsia" w:hAnsi="TimesNewRomanPSMT" w:cs="TimesNewRomanPSMT"/>
          <w:sz w:val="24"/>
          <w:szCs w:val="24"/>
          <w:lang w:val="en-HK" w:eastAsia="zh-TW"/>
        </w:rPr>
      </w:pPr>
    </w:p>
    <w:p w14:paraId="6910B00A" w14:textId="403E6066" w:rsidR="00706415" w:rsidRPr="006C69E1" w:rsidRDefault="00706415" w:rsidP="00706415">
      <w:pPr>
        <w:pStyle w:val="ListParagraph"/>
        <w:widowControl/>
        <w:numPr>
          <w:ilvl w:val="0"/>
          <w:numId w:val="3"/>
        </w:numPr>
        <w:adjustRightInd w:val="0"/>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having the Winding-up Order withdrawn or dismissed and liquidator discharged;</w:t>
      </w:r>
    </w:p>
    <w:p w14:paraId="22164024" w14:textId="77777777" w:rsidR="00706415" w:rsidRPr="006C69E1" w:rsidRDefault="00706415" w:rsidP="00706415">
      <w:pPr>
        <w:pStyle w:val="ListParagraph"/>
        <w:widowControl/>
        <w:numPr>
          <w:ilvl w:val="0"/>
          <w:numId w:val="3"/>
        </w:numPr>
        <w:adjustRightInd w:val="0"/>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demonstrating compliance with Rule 17.26 of the Listing Rules;</w:t>
      </w:r>
    </w:p>
    <w:p w14:paraId="1ABFFBFC" w14:textId="06025226" w:rsidR="00706415" w:rsidRPr="006C69E1" w:rsidRDefault="00706415" w:rsidP="00706415">
      <w:pPr>
        <w:pStyle w:val="ListParagraph"/>
        <w:widowControl/>
        <w:numPr>
          <w:ilvl w:val="0"/>
          <w:numId w:val="3"/>
        </w:numPr>
        <w:adjustRightInd w:val="0"/>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informing the market of all material information for the Company’s shareholders and</w:t>
      </w:r>
    </w:p>
    <w:p w14:paraId="5616B4BF" w14:textId="77777777" w:rsidR="00706415" w:rsidRPr="006C69E1" w:rsidRDefault="00706415" w:rsidP="00706415">
      <w:pPr>
        <w:widowControl/>
        <w:adjustRightInd w:val="0"/>
        <w:ind w:left="490"/>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 xml:space="preserve">investors to appraise the Company’s Position; </w:t>
      </w:r>
    </w:p>
    <w:p w14:paraId="6DE4CD11" w14:textId="315FFE1B" w:rsidR="00706415" w:rsidRPr="006C69E1" w:rsidRDefault="00706415" w:rsidP="00706415">
      <w:pPr>
        <w:pStyle w:val="ListParagraph"/>
        <w:widowControl/>
        <w:numPr>
          <w:ilvl w:val="0"/>
          <w:numId w:val="3"/>
        </w:numPr>
        <w:adjustRightInd w:val="0"/>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 xml:space="preserve">publish all outstanding financial results and address any audit modification(s); </w:t>
      </w:r>
    </w:p>
    <w:p w14:paraId="55CC26C5" w14:textId="655E308A" w:rsidR="00706415" w:rsidRPr="006C69E1" w:rsidRDefault="00706415" w:rsidP="00706415">
      <w:pPr>
        <w:pStyle w:val="BodyText"/>
        <w:numPr>
          <w:ilvl w:val="0"/>
          <w:numId w:val="3"/>
        </w:numPr>
        <w:spacing w:before="1"/>
        <w:ind w:right="108"/>
        <w:jc w:val="both"/>
        <w:rPr>
          <w:rFonts w:ascii="TimesNewRomanPSMT" w:eastAsiaTheme="minorEastAsia" w:hAnsi="TimesNewRomanPSMT" w:cs="TimesNewRomanPSMT"/>
          <w:lang w:val="en-HK" w:eastAsia="zh-TW"/>
        </w:rPr>
      </w:pPr>
      <w:r w:rsidRPr="006C69E1">
        <w:rPr>
          <w:rFonts w:ascii="TimesNewRomanPSMT" w:eastAsiaTheme="minorEastAsia" w:hAnsi="TimesNewRomanPSMT" w:cs="TimesNewRomanPSMT"/>
          <w:lang w:val="en-HK" w:eastAsia="zh-TW"/>
        </w:rPr>
        <w:t>re-comply with Rules 5.05, 5.05A, 5.28, 5.34 and 5.36A of the Listing Rules; and</w:t>
      </w:r>
    </w:p>
    <w:p w14:paraId="3AB226AC" w14:textId="1BC5E209" w:rsidR="00706415" w:rsidRPr="006C69E1" w:rsidRDefault="00706415" w:rsidP="00706415">
      <w:pPr>
        <w:pStyle w:val="BodyText"/>
        <w:numPr>
          <w:ilvl w:val="0"/>
          <w:numId w:val="3"/>
        </w:numPr>
        <w:spacing w:before="1"/>
        <w:ind w:right="108"/>
        <w:jc w:val="both"/>
      </w:pPr>
      <w:r w:rsidRPr="006C69E1">
        <w:rPr>
          <w:rFonts w:ascii="TimesNewRomanPSMT" w:eastAsiaTheme="minorEastAsia" w:hAnsi="TimesNewRomanPSMT" w:cs="TimesNewRomanPSMT"/>
          <w:lang w:val="en-HK" w:eastAsia="zh-TW"/>
        </w:rPr>
        <w:t>re-comply with Rule 5.14 of the Listing Rules.</w:t>
      </w:r>
    </w:p>
    <w:p w14:paraId="16C8FED6" w14:textId="34A2DEE8" w:rsidR="00C231F7" w:rsidRPr="003C61F4" w:rsidRDefault="00C231F7" w:rsidP="006720CA">
      <w:pPr>
        <w:pStyle w:val="BodyText"/>
        <w:spacing w:before="1"/>
        <w:ind w:left="112" w:right="108"/>
        <w:jc w:val="both"/>
        <w:rPr>
          <w:highlight w:val="lightGray"/>
        </w:rPr>
      </w:pPr>
    </w:p>
    <w:p w14:paraId="674E3F06" w14:textId="39347A6B" w:rsidR="003B0049" w:rsidRPr="006C69E1" w:rsidRDefault="003B0049" w:rsidP="006720CA">
      <w:pPr>
        <w:pStyle w:val="BodyText"/>
        <w:spacing w:before="1"/>
        <w:ind w:left="112" w:right="108"/>
        <w:jc w:val="both"/>
      </w:pPr>
      <w:r w:rsidRPr="006C69E1">
        <w:rPr>
          <w:rFonts w:ascii="TimesNewRomanPSMT" w:eastAsiaTheme="minorEastAsia" w:hAnsi="TimesNewRomanPSMT" w:cs="TimesNewRomanPSMT"/>
          <w:lang w:val="en-HK" w:eastAsia="zh-TW"/>
        </w:rPr>
        <w:t>The Stock Exchange indicated that it may modify or supplement the resumption guidance that has been given and/or give further guidance if the Company’s situation changes.</w:t>
      </w:r>
    </w:p>
    <w:p w14:paraId="5DFFCBA6" w14:textId="77777777" w:rsidR="003B0049" w:rsidRPr="003C61F4" w:rsidRDefault="003B0049" w:rsidP="006720CA">
      <w:pPr>
        <w:pStyle w:val="BodyText"/>
        <w:spacing w:before="1"/>
        <w:ind w:left="112" w:right="108"/>
        <w:jc w:val="both"/>
        <w:rPr>
          <w:highlight w:val="lightGray"/>
        </w:rPr>
      </w:pPr>
    </w:p>
    <w:p w14:paraId="2F862876" w14:textId="77777777" w:rsidR="009E258E" w:rsidRPr="006C69E1" w:rsidRDefault="007A1B77" w:rsidP="007A1B77">
      <w:pPr>
        <w:widowControl/>
        <w:adjustRightInd w:val="0"/>
        <w:ind w:left="142"/>
        <w:jc w:val="both"/>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 xml:space="preserve">If the Company fails to remedy the issue(s) causing its trading suspension, fully comply with the Listing Rules to the Stock Exchange’s satisfaction and resume trading in its shares by 12 December 2022, the Listing Division will recommend the GEM Listing Committee to proceed with the cancellation of the Company’s listing. Under Rule 9.15 of the Listing Rules, the Stock Exchange also has the right to impose a shorter specific remedial period, where appropriate.  </w:t>
      </w:r>
    </w:p>
    <w:p w14:paraId="2ED45DE1" w14:textId="77777777" w:rsidR="009E258E" w:rsidRPr="003C61F4" w:rsidRDefault="009E258E" w:rsidP="007A1B77">
      <w:pPr>
        <w:widowControl/>
        <w:adjustRightInd w:val="0"/>
        <w:ind w:left="142"/>
        <w:jc w:val="both"/>
        <w:rPr>
          <w:rFonts w:ascii="TimesNewRomanPSMT" w:eastAsiaTheme="minorEastAsia" w:hAnsi="TimesNewRomanPSMT" w:cs="TimesNewRomanPSMT"/>
          <w:sz w:val="24"/>
          <w:szCs w:val="24"/>
          <w:highlight w:val="lightGray"/>
          <w:lang w:val="en-HK" w:eastAsia="zh-TW"/>
        </w:rPr>
      </w:pPr>
    </w:p>
    <w:p w14:paraId="52CC0A87" w14:textId="77777777" w:rsidR="009E258E" w:rsidRPr="006C69E1" w:rsidRDefault="007A1B77" w:rsidP="007A1B77">
      <w:pPr>
        <w:widowControl/>
        <w:adjustRightInd w:val="0"/>
        <w:ind w:left="142"/>
        <w:jc w:val="both"/>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 xml:space="preserve">As at the date of this announcement, there is no update on the resumption progress.  </w:t>
      </w:r>
    </w:p>
    <w:p w14:paraId="79C3D927" w14:textId="77777777" w:rsidR="009E258E" w:rsidRPr="003C61F4" w:rsidRDefault="009E258E" w:rsidP="007A1B77">
      <w:pPr>
        <w:widowControl/>
        <w:adjustRightInd w:val="0"/>
        <w:ind w:left="142"/>
        <w:jc w:val="both"/>
        <w:rPr>
          <w:rFonts w:ascii="TimesNewRomanPSMT" w:eastAsiaTheme="minorEastAsia" w:hAnsi="TimesNewRomanPSMT" w:cs="TimesNewRomanPSMT"/>
          <w:sz w:val="24"/>
          <w:szCs w:val="24"/>
          <w:highlight w:val="lightGray"/>
          <w:lang w:val="en-HK" w:eastAsia="zh-TW"/>
        </w:rPr>
      </w:pPr>
    </w:p>
    <w:p w14:paraId="1E0EE7C3" w14:textId="2EBA8C03" w:rsidR="007A1B77" w:rsidRPr="006C69E1" w:rsidRDefault="007A1B77">
      <w:pPr>
        <w:widowControl/>
        <w:adjustRightInd w:val="0"/>
        <w:ind w:left="142"/>
        <w:jc w:val="both"/>
        <w:rPr>
          <w:rFonts w:ascii="TimesNewRomanPSMT" w:eastAsiaTheme="minorEastAsia" w:hAnsi="TimesNewRomanPSMT" w:cs="TimesNewRomanPSMT"/>
          <w:sz w:val="24"/>
          <w:szCs w:val="24"/>
          <w:lang w:val="en-HK" w:eastAsia="zh-TW"/>
        </w:rPr>
      </w:pPr>
      <w:r w:rsidRPr="006C69E1">
        <w:rPr>
          <w:rFonts w:ascii="TimesNewRomanPSMT" w:eastAsiaTheme="minorEastAsia" w:hAnsi="TimesNewRomanPSMT" w:cs="TimesNewRomanPSMT"/>
          <w:sz w:val="24"/>
          <w:szCs w:val="24"/>
          <w:lang w:val="en-HK" w:eastAsia="zh-TW"/>
        </w:rPr>
        <w:t xml:space="preserve">Further announcement will be made by the Company to provide updates on the resumption progress as and when appropriate. </w:t>
      </w:r>
    </w:p>
    <w:p w14:paraId="5146EEA5" w14:textId="77777777" w:rsidR="0088240A" w:rsidRPr="003C61F4" w:rsidRDefault="0088240A" w:rsidP="00320554">
      <w:pPr>
        <w:pStyle w:val="BodyText"/>
        <w:spacing w:before="1"/>
        <w:ind w:right="108"/>
        <w:jc w:val="both"/>
        <w:rPr>
          <w:highlight w:val="lightGray"/>
        </w:rPr>
      </w:pPr>
    </w:p>
    <w:p w14:paraId="3D8FB2C3" w14:textId="77777777" w:rsidR="006720CA" w:rsidRPr="006C69E1" w:rsidRDefault="006720CA" w:rsidP="006720CA">
      <w:pPr>
        <w:pStyle w:val="BodyText"/>
        <w:spacing w:before="1"/>
        <w:ind w:left="112" w:right="108"/>
        <w:jc w:val="both"/>
        <w:rPr>
          <w:b/>
        </w:rPr>
      </w:pPr>
      <w:r w:rsidRPr="006C69E1">
        <w:rPr>
          <w:b/>
        </w:rPr>
        <w:t>CONTINUED SUSPENSION OF TRADING</w:t>
      </w:r>
    </w:p>
    <w:p w14:paraId="4CC9B6FC" w14:textId="77777777" w:rsidR="006720CA" w:rsidRPr="006C69E1" w:rsidRDefault="006720CA" w:rsidP="006720CA">
      <w:pPr>
        <w:pStyle w:val="BodyText"/>
        <w:spacing w:before="1"/>
        <w:ind w:left="112" w:right="108"/>
        <w:jc w:val="both"/>
      </w:pPr>
    </w:p>
    <w:p w14:paraId="717DBAB5" w14:textId="1B254F48" w:rsidR="006720CA" w:rsidRDefault="006720CA" w:rsidP="006720CA">
      <w:pPr>
        <w:pStyle w:val="BodyText"/>
        <w:spacing w:before="1"/>
        <w:ind w:left="112" w:right="108"/>
        <w:jc w:val="both"/>
      </w:pPr>
      <w:r w:rsidRPr="006C69E1">
        <w:t xml:space="preserve">Trading in the shares of the Company on </w:t>
      </w:r>
      <w:r w:rsidR="006C69E1" w:rsidRPr="003C61F4">
        <w:t>t</w:t>
      </w:r>
      <w:r w:rsidRPr="006C69E1">
        <w:t xml:space="preserve">he Stock Exchange has been suspended with effect from 11:58 a.m. on </w:t>
      </w:r>
      <w:r w:rsidR="00307BC6" w:rsidRPr="006C69E1">
        <w:t>13 December 2021 and</w:t>
      </w:r>
      <w:r w:rsidRPr="006C69E1">
        <w:t xml:space="preserve"> will remain suspended until further notice.</w:t>
      </w:r>
    </w:p>
    <w:p w14:paraId="76E0D6F6" w14:textId="77777777" w:rsidR="006720CA" w:rsidRDefault="006720CA" w:rsidP="006720CA"/>
    <w:p w14:paraId="2AA38398" w14:textId="77777777" w:rsidR="006720CA" w:rsidRDefault="006720CA" w:rsidP="006720CA">
      <w:pPr>
        <w:pStyle w:val="BodyText"/>
        <w:spacing w:before="1"/>
        <w:ind w:left="112" w:right="108"/>
        <w:jc w:val="both"/>
        <w:rPr>
          <w:b/>
          <w:bCs/>
        </w:rPr>
      </w:pPr>
    </w:p>
    <w:p w14:paraId="5DFC2B2B" w14:textId="77777777" w:rsidR="006720CA" w:rsidRPr="004145E4" w:rsidRDefault="006720CA" w:rsidP="006720CA">
      <w:pPr>
        <w:pStyle w:val="BodyText"/>
        <w:spacing w:before="1"/>
        <w:ind w:left="112" w:right="108"/>
        <w:jc w:val="both"/>
        <w:rPr>
          <w:b/>
          <w:bCs/>
        </w:rPr>
      </w:pPr>
    </w:p>
    <w:p w14:paraId="2E10FF5E" w14:textId="77777777" w:rsidR="006720CA" w:rsidRDefault="006720CA" w:rsidP="006720CA"/>
    <w:p w14:paraId="5D217E75" w14:textId="77777777" w:rsidR="006720CA" w:rsidRDefault="006720CA" w:rsidP="006720CA">
      <w:pPr>
        <w:pStyle w:val="BodyText"/>
        <w:spacing w:before="1"/>
        <w:ind w:left="5202" w:right="100"/>
        <w:jc w:val="center"/>
      </w:pPr>
      <w:r>
        <w:t>For and on behalf of</w:t>
      </w:r>
    </w:p>
    <w:p w14:paraId="68FD2904" w14:textId="77777777" w:rsidR="006720CA" w:rsidRPr="00E01B52" w:rsidRDefault="006720CA" w:rsidP="006720CA">
      <w:pPr>
        <w:pStyle w:val="BodyText"/>
        <w:spacing w:before="1"/>
        <w:ind w:left="5202" w:right="100"/>
        <w:jc w:val="center"/>
        <w:rPr>
          <w:b/>
          <w:bCs/>
        </w:rPr>
      </w:pPr>
      <w:r w:rsidRPr="00E01B52">
        <w:rPr>
          <w:b/>
          <w:bCs/>
        </w:rPr>
        <w:t>Kirin Group Holdings Limited</w:t>
      </w:r>
    </w:p>
    <w:p w14:paraId="531B687A" w14:textId="77777777" w:rsidR="006720CA" w:rsidRPr="00E01B52" w:rsidRDefault="006720CA" w:rsidP="006720CA">
      <w:pPr>
        <w:pStyle w:val="BodyText"/>
        <w:spacing w:before="1"/>
        <w:ind w:left="5202" w:right="100"/>
        <w:jc w:val="center"/>
        <w:rPr>
          <w:b/>
          <w:bCs/>
        </w:rPr>
      </w:pPr>
      <w:r w:rsidRPr="00E01B52">
        <w:rPr>
          <w:b/>
          <w:bCs/>
        </w:rPr>
        <w:t>(In Compulsory Liquidation)</w:t>
      </w:r>
    </w:p>
    <w:p w14:paraId="5D83EAFB" w14:textId="77777777" w:rsidR="006720CA" w:rsidRPr="00E01B52" w:rsidRDefault="006720CA" w:rsidP="006720CA">
      <w:pPr>
        <w:pStyle w:val="BodyText"/>
        <w:spacing w:before="1"/>
        <w:ind w:left="5202" w:right="100"/>
        <w:jc w:val="center"/>
        <w:rPr>
          <w:b/>
          <w:bCs/>
        </w:rPr>
      </w:pPr>
      <w:r w:rsidRPr="00E01B52">
        <w:rPr>
          <w:b/>
          <w:bCs/>
        </w:rPr>
        <w:t>Osman Mohammed Arab</w:t>
      </w:r>
    </w:p>
    <w:p w14:paraId="28DA9725" w14:textId="77777777" w:rsidR="006720CA" w:rsidRDefault="006720CA" w:rsidP="006720CA">
      <w:pPr>
        <w:pStyle w:val="BodyText"/>
        <w:spacing w:before="1"/>
        <w:ind w:left="5202" w:right="100"/>
        <w:jc w:val="center"/>
      </w:pPr>
      <w:r w:rsidRPr="00E01B52">
        <w:rPr>
          <w:b/>
          <w:bCs/>
        </w:rPr>
        <w:t>Wong Kwok Keung</w:t>
      </w:r>
    </w:p>
    <w:p w14:paraId="64E538DC" w14:textId="77777777" w:rsidR="006720CA" w:rsidRDefault="006720CA" w:rsidP="006720CA">
      <w:pPr>
        <w:pStyle w:val="BodyText"/>
        <w:spacing w:before="1"/>
        <w:ind w:left="5202" w:right="100"/>
        <w:jc w:val="center"/>
      </w:pPr>
      <w:r>
        <w:t>Joint and Several Liquidators</w:t>
      </w:r>
    </w:p>
    <w:p w14:paraId="48C348A2" w14:textId="77777777" w:rsidR="006720CA" w:rsidRDefault="006720CA" w:rsidP="006720CA">
      <w:pPr>
        <w:pStyle w:val="BodyText"/>
        <w:spacing w:before="1"/>
        <w:ind w:left="5202" w:right="100"/>
        <w:jc w:val="center"/>
      </w:pPr>
      <w:r>
        <w:t>Acting as agents of the Company</w:t>
      </w:r>
    </w:p>
    <w:p w14:paraId="06C63A3C" w14:textId="77777777" w:rsidR="006720CA" w:rsidRDefault="006720CA" w:rsidP="006720CA">
      <w:pPr>
        <w:pStyle w:val="BodyText"/>
        <w:spacing w:before="1"/>
        <w:ind w:left="5202" w:right="100"/>
        <w:jc w:val="center"/>
      </w:pPr>
      <w:r>
        <w:t>without personal liabilities</w:t>
      </w:r>
    </w:p>
    <w:p w14:paraId="7DB4B8EE" w14:textId="77777777" w:rsidR="006720CA" w:rsidRDefault="006720CA" w:rsidP="006720CA">
      <w:pPr>
        <w:pStyle w:val="BodyText"/>
        <w:spacing w:before="8"/>
        <w:rPr>
          <w:sz w:val="23"/>
        </w:rPr>
      </w:pPr>
    </w:p>
    <w:p w14:paraId="192777F4" w14:textId="3E7A2A43" w:rsidR="006720CA" w:rsidRDefault="006720CA" w:rsidP="006720CA">
      <w:pPr>
        <w:pStyle w:val="BodyText"/>
        <w:spacing w:before="1"/>
        <w:ind w:left="112"/>
      </w:pPr>
      <w:r>
        <w:t>Hong</w:t>
      </w:r>
      <w:r>
        <w:rPr>
          <w:spacing w:val="-10"/>
        </w:rPr>
        <w:t xml:space="preserve"> </w:t>
      </w:r>
      <w:r>
        <w:t>Kong,</w:t>
      </w:r>
      <w:r>
        <w:rPr>
          <w:spacing w:val="-8"/>
        </w:rPr>
        <w:t xml:space="preserve"> </w:t>
      </w:r>
      <w:r w:rsidR="006C69E1">
        <w:t xml:space="preserve">21 </w:t>
      </w:r>
      <w:r w:rsidR="00D0022B">
        <w:t>June</w:t>
      </w:r>
      <w:r>
        <w:t xml:space="preserve"> 2022</w:t>
      </w:r>
    </w:p>
    <w:p w14:paraId="1A3177ED" w14:textId="77777777" w:rsidR="006720CA" w:rsidRDefault="006720CA" w:rsidP="006720CA">
      <w:pPr>
        <w:pStyle w:val="BodyText"/>
        <w:spacing w:before="1"/>
        <w:ind w:left="5202" w:right="100"/>
      </w:pPr>
    </w:p>
    <w:p w14:paraId="76D27FFC" w14:textId="77777777" w:rsidR="006720CA" w:rsidRDefault="006720CA" w:rsidP="006720CA">
      <w:pPr>
        <w:pStyle w:val="BodyText"/>
        <w:spacing w:before="9"/>
        <w:rPr>
          <w:sz w:val="23"/>
        </w:rPr>
      </w:pPr>
    </w:p>
    <w:p w14:paraId="3B530AD2" w14:textId="77777777" w:rsidR="00551771" w:rsidRPr="0026155E" w:rsidRDefault="00551771" w:rsidP="00551771">
      <w:pPr>
        <w:ind w:left="112" w:right="117"/>
        <w:jc w:val="both"/>
      </w:pPr>
      <w:r w:rsidRPr="0026155E">
        <w:rPr>
          <w:i/>
          <w:iCs/>
        </w:rPr>
        <w:t>As at the date of this announcement, the Board comprises Mr. Wang Jinhan, Mr. Zhou Wenjun, Mr. Wang Jiankun, Mr. Hung Tat Chi Alan and Mr. Zhang Yang as the executive Directors</w:t>
      </w:r>
      <w:r>
        <w:rPr>
          <w:i/>
          <w:iCs/>
        </w:rPr>
        <w:t>,</w:t>
      </w:r>
      <w:r w:rsidRPr="0026155E">
        <w:rPr>
          <w:i/>
          <w:iCs/>
        </w:rPr>
        <w:t xml:space="preserve"> Mr. Lee Cheung Yuet Horace as the independent non-executive Director.</w:t>
      </w:r>
    </w:p>
    <w:p w14:paraId="7BD2F194" w14:textId="77777777" w:rsidR="00551771" w:rsidRPr="0026155E" w:rsidRDefault="00551771" w:rsidP="00551771">
      <w:pPr>
        <w:ind w:left="112" w:right="117"/>
        <w:jc w:val="both"/>
        <w:rPr>
          <w:i/>
          <w:iCs/>
        </w:rPr>
      </w:pPr>
    </w:p>
    <w:p w14:paraId="668AAC0E" w14:textId="77777777" w:rsidR="00551771" w:rsidRPr="00AA4686" w:rsidRDefault="00551771" w:rsidP="00551771">
      <w:pPr>
        <w:ind w:left="112" w:right="117"/>
        <w:jc w:val="both"/>
        <w:rPr>
          <w:i/>
          <w:iCs/>
          <w:sz w:val="24"/>
        </w:rPr>
      </w:pPr>
      <w:r w:rsidRPr="0026155E">
        <w:rPr>
          <w:i/>
          <w:iCs/>
        </w:rPr>
        <w:t>The affairs, business and property of the Company are being managed by the Joint and Several Liquidators who act as agents of the Company only and without personal liabilities.</w:t>
      </w:r>
    </w:p>
    <w:p w14:paraId="42D9FEA7" w14:textId="77777777" w:rsidR="00E80671" w:rsidRDefault="00B265AC"/>
    <w:sectPr w:rsidR="00E80671">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8A55" w14:textId="77777777" w:rsidR="00B265AC" w:rsidRDefault="00B265AC">
      <w:r>
        <w:separator/>
      </w:r>
    </w:p>
  </w:endnote>
  <w:endnote w:type="continuationSeparator" w:id="0">
    <w:p w14:paraId="4A46AF95" w14:textId="77777777" w:rsidR="00B265AC" w:rsidRDefault="00B2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830B" w14:textId="77777777" w:rsidR="00B265AC" w:rsidRDefault="00B265AC">
      <w:r>
        <w:separator/>
      </w:r>
    </w:p>
  </w:footnote>
  <w:footnote w:type="continuationSeparator" w:id="0">
    <w:p w14:paraId="746C039C" w14:textId="77777777" w:rsidR="00B265AC" w:rsidRDefault="00B2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373"/>
    <w:multiLevelType w:val="hybridMultilevel"/>
    <w:tmpl w:val="BEE051B0"/>
    <w:lvl w:ilvl="0" w:tplc="1782441E">
      <w:start w:val="1"/>
      <w:numFmt w:val="decimal"/>
      <w:lvlText w:val="(%1)"/>
      <w:lvlJc w:val="left"/>
      <w:pPr>
        <w:ind w:left="472" w:hanging="360"/>
      </w:pPr>
      <w:rPr>
        <w:rFonts w:hint="default"/>
      </w:rPr>
    </w:lvl>
    <w:lvl w:ilvl="1" w:tplc="3C090019" w:tentative="1">
      <w:start w:val="1"/>
      <w:numFmt w:val="lowerLetter"/>
      <w:lvlText w:val="%2."/>
      <w:lvlJc w:val="left"/>
      <w:pPr>
        <w:ind w:left="1192" w:hanging="360"/>
      </w:pPr>
    </w:lvl>
    <w:lvl w:ilvl="2" w:tplc="3C09001B" w:tentative="1">
      <w:start w:val="1"/>
      <w:numFmt w:val="lowerRoman"/>
      <w:lvlText w:val="%3."/>
      <w:lvlJc w:val="right"/>
      <w:pPr>
        <w:ind w:left="1912" w:hanging="180"/>
      </w:pPr>
    </w:lvl>
    <w:lvl w:ilvl="3" w:tplc="3C09000F" w:tentative="1">
      <w:start w:val="1"/>
      <w:numFmt w:val="decimal"/>
      <w:lvlText w:val="%4."/>
      <w:lvlJc w:val="left"/>
      <w:pPr>
        <w:ind w:left="2632" w:hanging="360"/>
      </w:pPr>
    </w:lvl>
    <w:lvl w:ilvl="4" w:tplc="3C090019" w:tentative="1">
      <w:start w:val="1"/>
      <w:numFmt w:val="lowerLetter"/>
      <w:lvlText w:val="%5."/>
      <w:lvlJc w:val="left"/>
      <w:pPr>
        <w:ind w:left="3352" w:hanging="360"/>
      </w:pPr>
    </w:lvl>
    <w:lvl w:ilvl="5" w:tplc="3C09001B" w:tentative="1">
      <w:start w:val="1"/>
      <w:numFmt w:val="lowerRoman"/>
      <w:lvlText w:val="%6."/>
      <w:lvlJc w:val="right"/>
      <w:pPr>
        <w:ind w:left="4072" w:hanging="180"/>
      </w:pPr>
    </w:lvl>
    <w:lvl w:ilvl="6" w:tplc="3C09000F" w:tentative="1">
      <w:start w:val="1"/>
      <w:numFmt w:val="decimal"/>
      <w:lvlText w:val="%7."/>
      <w:lvlJc w:val="left"/>
      <w:pPr>
        <w:ind w:left="4792" w:hanging="360"/>
      </w:pPr>
    </w:lvl>
    <w:lvl w:ilvl="7" w:tplc="3C090019" w:tentative="1">
      <w:start w:val="1"/>
      <w:numFmt w:val="lowerLetter"/>
      <w:lvlText w:val="%8."/>
      <w:lvlJc w:val="left"/>
      <w:pPr>
        <w:ind w:left="5512" w:hanging="360"/>
      </w:pPr>
    </w:lvl>
    <w:lvl w:ilvl="8" w:tplc="3C09001B" w:tentative="1">
      <w:start w:val="1"/>
      <w:numFmt w:val="lowerRoman"/>
      <w:lvlText w:val="%9."/>
      <w:lvlJc w:val="right"/>
      <w:pPr>
        <w:ind w:left="6232" w:hanging="180"/>
      </w:pPr>
    </w:lvl>
  </w:abstractNum>
  <w:abstractNum w:abstractNumId="1" w15:restartNumberingAfterBreak="0">
    <w:nsid w:val="3FEB52A7"/>
    <w:multiLevelType w:val="hybridMultilevel"/>
    <w:tmpl w:val="6240B6E4"/>
    <w:lvl w:ilvl="0" w:tplc="12ACCF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44447"/>
    <w:multiLevelType w:val="hybridMultilevel"/>
    <w:tmpl w:val="E0EC4952"/>
    <w:lvl w:ilvl="0" w:tplc="96CA5E34">
      <w:start w:val="1"/>
      <w:numFmt w:val="decimal"/>
      <w:lvlText w:val="%1."/>
      <w:lvlJc w:val="left"/>
      <w:pPr>
        <w:ind w:left="502" w:hanging="360"/>
      </w:pPr>
      <w:rPr>
        <w:rFonts w:hint="default"/>
      </w:rPr>
    </w:lvl>
    <w:lvl w:ilvl="1" w:tplc="3C090019" w:tentative="1">
      <w:start w:val="1"/>
      <w:numFmt w:val="lowerLetter"/>
      <w:lvlText w:val="%2."/>
      <w:lvlJc w:val="left"/>
      <w:pPr>
        <w:ind w:left="1222" w:hanging="360"/>
      </w:pPr>
    </w:lvl>
    <w:lvl w:ilvl="2" w:tplc="3C09001B" w:tentative="1">
      <w:start w:val="1"/>
      <w:numFmt w:val="lowerRoman"/>
      <w:lvlText w:val="%3."/>
      <w:lvlJc w:val="right"/>
      <w:pPr>
        <w:ind w:left="1942" w:hanging="180"/>
      </w:pPr>
    </w:lvl>
    <w:lvl w:ilvl="3" w:tplc="3C09000F" w:tentative="1">
      <w:start w:val="1"/>
      <w:numFmt w:val="decimal"/>
      <w:lvlText w:val="%4."/>
      <w:lvlJc w:val="left"/>
      <w:pPr>
        <w:ind w:left="2662" w:hanging="360"/>
      </w:pPr>
    </w:lvl>
    <w:lvl w:ilvl="4" w:tplc="3C090019" w:tentative="1">
      <w:start w:val="1"/>
      <w:numFmt w:val="lowerLetter"/>
      <w:lvlText w:val="%5."/>
      <w:lvlJc w:val="left"/>
      <w:pPr>
        <w:ind w:left="3382" w:hanging="360"/>
      </w:pPr>
    </w:lvl>
    <w:lvl w:ilvl="5" w:tplc="3C09001B" w:tentative="1">
      <w:start w:val="1"/>
      <w:numFmt w:val="lowerRoman"/>
      <w:lvlText w:val="%6."/>
      <w:lvlJc w:val="right"/>
      <w:pPr>
        <w:ind w:left="4102" w:hanging="180"/>
      </w:pPr>
    </w:lvl>
    <w:lvl w:ilvl="6" w:tplc="3C09000F" w:tentative="1">
      <w:start w:val="1"/>
      <w:numFmt w:val="decimal"/>
      <w:lvlText w:val="%7."/>
      <w:lvlJc w:val="left"/>
      <w:pPr>
        <w:ind w:left="4822" w:hanging="360"/>
      </w:pPr>
    </w:lvl>
    <w:lvl w:ilvl="7" w:tplc="3C090019" w:tentative="1">
      <w:start w:val="1"/>
      <w:numFmt w:val="lowerLetter"/>
      <w:lvlText w:val="%8."/>
      <w:lvlJc w:val="left"/>
      <w:pPr>
        <w:ind w:left="5542" w:hanging="360"/>
      </w:pPr>
    </w:lvl>
    <w:lvl w:ilvl="8" w:tplc="3C09001B" w:tentative="1">
      <w:start w:val="1"/>
      <w:numFmt w:val="lowerRoman"/>
      <w:lvlText w:val="%9."/>
      <w:lvlJc w:val="right"/>
      <w:pPr>
        <w:ind w:left="6262" w:hanging="180"/>
      </w:pPr>
    </w:lvl>
  </w:abstractNum>
  <w:abstractNum w:abstractNumId="3" w15:restartNumberingAfterBreak="0">
    <w:nsid w:val="7B1E13BD"/>
    <w:multiLevelType w:val="hybridMultilevel"/>
    <w:tmpl w:val="BB683B86"/>
    <w:lvl w:ilvl="0" w:tplc="96CA5E34">
      <w:start w:val="1"/>
      <w:numFmt w:val="decimal"/>
      <w:lvlText w:val="%1."/>
      <w:lvlJc w:val="left"/>
      <w:pPr>
        <w:ind w:left="992"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LUwMjQzMrYwNjZW0lEKTi0uzszPAymwqAUAxZ7PbCwAAAA="/>
  </w:docVars>
  <w:rsids>
    <w:rsidRoot w:val="006720CA"/>
    <w:rsid w:val="00071598"/>
    <w:rsid w:val="00091CCE"/>
    <w:rsid w:val="00223C7B"/>
    <w:rsid w:val="002540B6"/>
    <w:rsid w:val="00307BC6"/>
    <w:rsid w:val="00307E5C"/>
    <w:rsid w:val="00315867"/>
    <w:rsid w:val="00320554"/>
    <w:rsid w:val="003B0049"/>
    <w:rsid w:val="003C61F4"/>
    <w:rsid w:val="003D7043"/>
    <w:rsid w:val="00406559"/>
    <w:rsid w:val="00412EB3"/>
    <w:rsid w:val="00481B84"/>
    <w:rsid w:val="00482CF2"/>
    <w:rsid w:val="004C45DD"/>
    <w:rsid w:val="00551771"/>
    <w:rsid w:val="005A2D86"/>
    <w:rsid w:val="005A3267"/>
    <w:rsid w:val="005B7B95"/>
    <w:rsid w:val="006720CA"/>
    <w:rsid w:val="006C69E1"/>
    <w:rsid w:val="00705E44"/>
    <w:rsid w:val="00706415"/>
    <w:rsid w:val="00736C1D"/>
    <w:rsid w:val="007617CF"/>
    <w:rsid w:val="007A1B77"/>
    <w:rsid w:val="007B6B04"/>
    <w:rsid w:val="007F720B"/>
    <w:rsid w:val="0088240A"/>
    <w:rsid w:val="00893C26"/>
    <w:rsid w:val="0090602D"/>
    <w:rsid w:val="009643CB"/>
    <w:rsid w:val="00976BDA"/>
    <w:rsid w:val="009E258E"/>
    <w:rsid w:val="00AF3EFE"/>
    <w:rsid w:val="00B05B08"/>
    <w:rsid w:val="00B22E87"/>
    <w:rsid w:val="00B265AC"/>
    <w:rsid w:val="00BB356F"/>
    <w:rsid w:val="00C231F7"/>
    <w:rsid w:val="00C2401A"/>
    <w:rsid w:val="00C43C39"/>
    <w:rsid w:val="00CB12E8"/>
    <w:rsid w:val="00D0022B"/>
    <w:rsid w:val="00E01B52"/>
    <w:rsid w:val="00E42FAF"/>
    <w:rsid w:val="00FC0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BE90"/>
  <w15:chartTrackingRefBased/>
  <w15:docId w15:val="{159B4BEC-99F6-45E7-9548-0CEA5D2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0CA"/>
    <w:pPr>
      <w:widowControl w:val="0"/>
      <w:autoSpaceDE w:val="0"/>
      <w:autoSpaceDN w:val="0"/>
      <w:spacing w:after="0" w:line="240" w:lineRule="auto"/>
    </w:pPr>
    <w:rPr>
      <w:rFonts w:ascii="Times New Roman" w:eastAsia="Times New Roman" w:hAnsi="Times New Roman" w:cs="Times New Roman"/>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20CA"/>
    <w:rPr>
      <w:sz w:val="24"/>
      <w:szCs w:val="24"/>
    </w:rPr>
  </w:style>
  <w:style w:type="character" w:customStyle="1" w:styleId="BodyTextChar">
    <w:name w:val="Body Text Char"/>
    <w:basedOn w:val="DefaultParagraphFont"/>
    <w:link w:val="BodyText"/>
    <w:uiPriority w:val="1"/>
    <w:rsid w:val="006720CA"/>
    <w:rPr>
      <w:rFonts w:ascii="Times New Roman" w:eastAsia="Times New Roman" w:hAnsi="Times New Roman" w:cs="Times New Roman"/>
      <w:sz w:val="24"/>
      <w:szCs w:val="24"/>
      <w:lang w:eastAsia="zh-HK"/>
    </w:rPr>
  </w:style>
  <w:style w:type="paragraph" w:styleId="Title">
    <w:name w:val="Title"/>
    <w:basedOn w:val="Normal"/>
    <w:link w:val="TitleChar"/>
    <w:uiPriority w:val="1"/>
    <w:qFormat/>
    <w:rsid w:val="006720CA"/>
    <w:pPr>
      <w:ind w:left="264" w:firstLine="916"/>
    </w:pPr>
    <w:rPr>
      <w:b/>
      <w:bCs/>
      <w:sz w:val="32"/>
      <w:szCs w:val="32"/>
    </w:rPr>
  </w:style>
  <w:style w:type="character" w:customStyle="1" w:styleId="TitleChar">
    <w:name w:val="Title Char"/>
    <w:basedOn w:val="DefaultParagraphFont"/>
    <w:link w:val="Title"/>
    <w:uiPriority w:val="1"/>
    <w:rsid w:val="006720CA"/>
    <w:rPr>
      <w:rFonts w:ascii="Times New Roman" w:eastAsia="Times New Roman" w:hAnsi="Times New Roman" w:cs="Times New Roman"/>
      <w:b/>
      <w:bCs/>
      <w:sz w:val="32"/>
      <w:szCs w:val="32"/>
      <w:lang w:eastAsia="zh-HK"/>
    </w:rPr>
  </w:style>
  <w:style w:type="paragraph" w:styleId="ListParagraph">
    <w:name w:val="List Paragraph"/>
    <w:basedOn w:val="Normal"/>
    <w:uiPriority w:val="1"/>
    <w:qFormat/>
    <w:rsid w:val="006720CA"/>
  </w:style>
  <w:style w:type="paragraph" w:styleId="Header">
    <w:name w:val="header"/>
    <w:basedOn w:val="Normal"/>
    <w:link w:val="HeaderChar"/>
    <w:uiPriority w:val="99"/>
    <w:unhideWhenUsed/>
    <w:rsid w:val="006720CA"/>
    <w:pPr>
      <w:tabs>
        <w:tab w:val="center" w:pos="4513"/>
        <w:tab w:val="right" w:pos="9026"/>
      </w:tabs>
    </w:pPr>
  </w:style>
  <w:style w:type="character" w:customStyle="1" w:styleId="HeaderChar">
    <w:name w:val="Header Char"/>
    <w:basedOn w:val="DefaultParagraphFont"/>
    <w:link w:val="Header"/>
    <w:uiPriority w:val="99"/>
    <w:rsid w:val="006720CA"/>
    <w:rPr>
      <w:rFonts w:ascii="Times New Roman" w:eastAsia="Times New Roman" w:hAnsi="Times New Roman" w:cs="Times New Roman"/>
      <w:lang w:eastAsia="zh-HK"/>
    </w:rPr>
  </w:style>
  <w:style w:type="paragraph" w:styleId="Footer">
    <w:name w:val="footer"/>
    <w:basedOn w:val="Normal"/>
    <w:link w:val="FooterChar"/>
    <w:uiPriority w:val="99"/>
    <w:unhideWhenUsed/>
    <w:rsid w:val="006720CA"/>
    <w:pPr>
      <w:tabs>
        <w:tab w:val="center" w:pos="4513"/>
        <w:tab w:val="right" w:pos="9026"/>
      </w:tabs>
    </w:pPr>
  </w:style>
  <w:style w:type="character" w:customStyle="1" w:styleId="FooterChar">
    <w:name w:val="Footer Char"/>
    <w:basedOn w:val="DefaultParagraphFont"/>
    <w:link w:val="Footer"/>
    <w:uiPriority w:val="99"/>
    <w:rsid w:val="006720CA"/>
    <w:rPr>
      <w:rFonts w:ascii="Times New Roman" w:eastAsia="Times New Roman" w:hAnsi="Times New Roman" w:cs="Times New Roman"/>
      <w:lang w:eastAsia="zh-HK"/>
    </w:rPr>
  </w:style>
  <w:style w:type="character" w:styleId="CommentReference">
    <w:name w:val="annotation reference"/>
    <w:basedOn w:val="DefaultParagraphFont"/>
    <w:uiPriority w:val="99"/>
    <w:semiHidden/>
    <w:unhideWhenUsed/>
    <w:rsid w:val="006720CA"/>
    <w:rPr>
      <w:sz w:val="16"/>
      <w:szCs w:val="16"/>
    </w:rPr>
  </w:style>
  <w:style w:type="paragraph" w:styleId="CommentText">
    <w:name w:val="annotation text"/>
    <w:basedOn w:val="Normal"/>
    <w:link w:val="CommentTextChar"/>
    <w:uiPriority w:val="99"/>
    <w:semiHidden/>
    <w:unhideWhenUsed/>
    <w:rsid w:val="006720CA"/>
    <w:rPr>
      <w:sz w:val="20"/>
      <w:szCs w:val="20"/>
    </w:rPr>
  </w:style>
  <w:style w:type="character" w:customStyle="1" w:styleId="CommentTextChar">
    <w:name w:val="Comment Text Char"/>
    <w:basedOn w:val="DefaultParagraphFont"/>
    <w:link w:val="CommentText"/>
    <w:uiPriority w:val="99"/>
    <w:semiHidden/>
    <w:rsid w:val="006720CA"/>
    <w:rPr>
      <w:rFonts w:ascii="Times New Roman" w:eastAsia="Times New Roman" w:hAnsi="Times New Roman" w:cs="Times New Roman"/>
      <w:sz w:val="20"/>
      <w:szCs w:val="20"/>
      <w:lang w:eastAsia="zh-HK"/>
    </w:rPr>
  </w:style>
  <w:style w:type="paragraph" w:styleId="Revision">
    <w:name w:val="Revision"/>
    <w:hidden/>
    <w:uiPriority w:val="99"/>
    <w:semiHidden/>
    <w:rsid w:val="00406559"/>
    <w:pPr>
      <w:spacing w:after="0" w:line="240" w:lineRule="auto"/>
    </w:pPr>
    <w:rPr>
      <w:rFonts w:ascii="Times New Roman" w:eastAsia="Times New Roman" w:hAnsi="Times New Roman" w:cs="Times New Roman"/>
      <w:lang w:eastAsia="zh-HK"/>
    </w:rPr>
  </w:style>
  <w:style w:type="paragraph" w:styleId="BalloonText">
    <w:name w:val="Balloon Text"/>
    <w:basedOn w:val="Normal"/>
    <w:link w:val="BalloonTextChar"/>
    <w:uiPriority w:val="99"/>
    <w:semiHidden/>
    <w:unhideWhenUsed/>
    <w:rsid w:val="00406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59"/>
    <w:rPr>
      <w:rFonts w:ascii="Segoe UI" w:eastAsia="Times New Roman" w:hAnsi="Segoe UI" w:cs="Segoe UI"/>
      <w:sz w:val="18"/>
      <w:szCs w:val="18"/>
      <w:lang w:eastAsia="zh-HK"/>
    </w:rPr>
  </w:style>
  <w:style w:type="paragraph" w:customStyle="1" w:styleId="Default">
    <w:name w:val="Default"/>
    <w:rsid w:val="00AF3EFE"/>
    <w:pPr>
      <w:autoSpaceDE w:val="0"/>
      <w:autoSpaceDN w:val="0"/>
      <w:adjustRightInd w:val="0"/>
      <w:spacing w:after="0" w:line="240" w:lineRule="auto"/>
    </w:pPr>
    <w:rPr>
      <w:rFonts w:ascii="Times New Roman" w:hAnsi="Times New Roman" w:cs="Times New Roman"/>
      <w:color w:val="000000"/>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41CE-9CE6-432D-B4FD-97A12C94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Chee</dc:creator>
  <cp:keywords/>
  <dc:description/>
  <cp:lastModifiedBy>Patti Lau</cp:lastModifiedBy>
  <cp:revision>3</cp:revision>
  <cp:lastPrinted>2022-06-20T11:45:00Z</cp:lastPrinted>
  <dcterms:created xsi:type="dcterms:W3CDTF">2022-06-21T02:44:00Z</dcterms:created>
  <dcterms:modified xsi:type="dcterms:W3CDTF">2022-06-21T02:45:00Z</dcterms:modified>
</cp:coreProperties>
</file>