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both"/>
        <w:rPr>
          <w:rFonts w:hint="default" w:ascii="Calibri" w:hAnsi="Calibri" w:eastAsia="宋体" w:cs="Times New Roman"/>
          <w:i/>
          <w:iCs/>
          <w:kern w:val="2"/>
          <w:sz w:val="21"/>
          <w:szCs w:val="21"/>
        </w:rPr>
      </w:pPr>
      <w:r>
        <w:rPr>
          <w:rFonts w:hint="eastAsia" w:ascii="宋体" w:hAnsi="宋体" w:eastAsia="宋体" w:cs="宋体"/>
          <w:i/>
          <w:iCs/>
          <w:snapToGrid w:val="0"/>
          <w:color w:val="000000"/>
          <w:kern w:val="2"/>
          <w:sz w:val="21"/>
          <w:szCs w:val="21"/>
          <w:lang w:val="en-US" w:eastAsia="zh-CN" w:bidi="ar"/>
        </w:rPr>
        <w:t>香港交易及結算所有限公司及香港聯合交易所有限公司對本公佈之內容概不負責，對其準確性或完整性亦不發表任何聲明，並明確表示，概不就因本公佈全部或任何部份內容而產生或因倚賴該等內容而引致之任何損失承擔任何責任。</w:t>
      </w:r>
    </w:p>
    <w:p>
      <w:pPr>
        <w:spacing w:before="54" w:line="325" w:lineRule="auto"/>
        <w:ind w:right="57" w:firstLine="30"/>
        <w:rPr>
          <w:rFonts w:ascii="Times New Roman" w:hAnsi="Times New Roman" w:eastAsia="Times New Roman" w:cs="Times New Roman"/>
          <w:sz w:val="20"/>
          <w:szCs w:val="20"/>
        </w:rPr>
      </w:pPr>
    </w:p>
    <w:p>
      <w:pPr>
        <w:spacing w:before="72" w:line="1296" w:lineRule="exact"/>
        <w:ind w:firstLine="3033"/>
        <w:textAlignment w:val="center"/>
      </w:pPr>
      <w:r>
        <w:drawing>
          <wp:inline distT="0" distB="0" distL="0" distR="0">
            <wp:extent cx="1467485" cy="822325"/>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4"/>
                    <a:stretch>
                      <a:fillRect/>
                    </a:stretch>
                  </pic:blipFill>
                  <pic:spPr>
                    <a:xfrm>
                      <a:off x="0" y="0"/>
                      <a:ext cx="1467611" cy="822959"/>
                    </a:xfrm>
                    <a:prstGeom prst="rect">
                      <a:avLst/>
                    </a:prstGeom>
                  </pic:spPr>
                </pic:pic>
              </a:graphicData>
            </a:graphic>
          </wp:inline>
        </w:drawing>
      </w:r>
    </w:p>
    <w:p>
      <w:pPr>
        <w:pStyle w:val="2"/>
        <w:widowControl/>
        <w:spacing w:before="0" w:beforeAutospacing="0" w:after="0" w:afterAutospacing="0" w:line="378" w:lineRule="exact"/>
        <w:ind w:left="0" w:leftChars="0" w:firstLine="0" w:firstLineChars="0"/>
        <w:jc w:val="both"/>
        <w:rPr>
          <w:rFonts w:hint="default" w:ascii="Times New Roman" w:hAnsi="Times New Roman" w:eastAsia="PMingLiU" w:cs="Times New Roman"/>
          <w:b/>
          <w:bCs/>
          <w:kern w:val="52"/>
          <w:sz w:val="36"/>
          <w:szCs w:val="36"/>
        </w:rPr>
      </w:pPr>
      <w:r>
        <w:rPr>
          <w:rFonts w:hint="default" w:ascii="Times New Roman" w:hAnsi="Times New Roman" w:cs="Times New Roman"/>
          <w:b/>
          <w:bCs/>
          <w:kern w:val="52"/>
          <w:sz w:val="36"/>
          <w:szCs w:val="36"/>
        </w:rPr>
        <w:t xml:space="preserve">          </w:t>
      </w:r>
      <w:bookmarkStart w:id="0" w:name="_GoBack"/>
      <w:bookmarkEnd w:id="0"/>
      <w:r>
        <w:rPr>
          <w:rFonts w:hint="default" w:ascii="Times New Roman" w:hAnsi="Times New Roman" w:eastAsia="PMingLiU" w:cs="Times New Roman"/>
          <w:b/>
          <w:bCs/>
          <w:kern w:val="52"/>
          <w:sz w:val="36"/>
          <w:szCs w:val="36"/>
        </w:rPr>
        <w:t>CHINA HEALTH GROUP INC.</w:t>
      </w:r>
    </w:p>
    <w:p>
      <w:pPr>
        <w:pStyle w:val="2"/>
        <w:widowControl/>
        <w:spacing w:before="0" w:beforeAutospacing="0" w:after="0" w:afterAutospacing="0" w:line="378" w:lineRule="exact"/>
        <w:ind w:left="0" w:leftChars="0" w:firstLine="0" w:firstLineChars="0"/>
        <w:jc w:val="center"/>
        <w:rPr>
          <w:rFonts w:ascii="Times New Roman" w:hAnsi="Times New Roman" w:eastAsia="Times New Roman" w:cs="Times New Roman"/>
          <w:sz w:val="28"/>
          <w:szCs w:val="28"/>
        </w:rPr>
      </w:pPr>
      <w:r>
        <w:rPr>
          <w:rFonts w:hint="default" w:ascii="宋体" w:hAnsi="宋体" w:eastAsia="宋体" w:cs="宋体"/>
          <w:position w:val="3"/>
          <w:sz w:val="28"/>
          <w:szCs w:val="28"/>
        </w:rPr>
        <w:t>(中國醫療集團有限公司)</w:t>
      </w:r>
    </w:p>
    <w:p>
      <w:pPr>
        <w:keepNext w:val="0"/>
        <w:keepLines w:val="0"/>
        <w:widowControl w:val="0"/>
        <w:suppressLineNumbers w:val="0"/>
        <w:spacing w:before="0" w:beforeAutospacing="0" w:after="0" w:afterAutospacing="0" w:line="220" w:lineRule="exact"/>
        <w:ind w:left="0" w:right="0"/>
        <w:jc w:val="center"/>
        <w:rPr>
          <w:rFonts w:hint="default" w:ascii="等线" w:hAnsi="等线" w:eastAsia="等线" w:cs="等线"/>
          <w:kern w:val="2"/>
          <w:sz w:val="21"/>
          <w:szCs w:val="21"/>
        </w:rPr>
      </w:pPr>
      <w:r>
        <w:rPr>
          <w:rFonts w:hint="default" w:ascii="PMingLiU" w:hAnsi="PMingLiU" w:eastAsia="PMingLiU" w:cs="PMingLiU"/>
          <w:snapToGrid w:val="0"/>
          <w:color w:val="000000"/>
          <w:kern w:val="2"/>
          <w:sz w:val="21"/>
          <w:szCs w:val="21"/>
          <w:lang w:val="en-US" w:eastAsia="zh-CN" w:bidi="ar"/>
        </w:rPr>
        <w:t>（以「萬全醫療集團」名稱在香港經營業務）</w:t>
      </w:r>
    </w:p>
    <w:p>
      <w:pPr>
        <w:keepNext w:val="0"/>
        <w:keepLines w:val="0"/>
        <w:widowControl w:val="0"/>
        <w:suppressLineNumbers w:val="0"/>
        <w:spacing w:before="0" w:beforeAutospacing="0" w:after="0" w:afterAutospacing="0" w:line="220" w:lineRule="exact"/>
        <w:ind w:left="0" w:right="0"/>
        <w:jc w:val="center"/>
        <w:rPr>
          <w:rFonts w:hint="default" w:ascii="等线" w:hAnsi="等线" w:eastAsia="等线" w:cs="等线"/>
          <w:i/>
          <w:iCs w:val="0"/>
          <w:kern w:val="2"/>
          <w:sz w:val="21"/>
          <w:szCs w:val="21"/>
        </w:rPr>
      </w:pPr>
      <w:r>
        <w:rPr>
          <w:rFonts w:hint="default" w:ascii="等线" w:hAnsi="等线" w:eastAsia="PMingLiU" w:cs="等线"/>
          <w:i/>
          <w:iCs w:val="0"/>
          <w:snapToGrid w:val="0"/>
          <w:color w:val="000000"/>
          <w:kern w:val="2"/>
          <w:sz w:val="21"/>
          <w:szCs w:val="21"/>
          <w:lang w:val="en-US" w:eastAsia="zh-CN" w:bidi="ar"/>
        </w:rPr>
        <w:t>(</w:t>
      </w:r>
      <w:r>
        <w:rPr>
          <w:rFonts w:hint="default" w:ascii="PMingLiU" w:hAnsi="PMingLiU" w:eastAsia="PMingLiU" w:cs="PMingLiU"/>
          <w:i/>
          <w:iCs w:val="0"/>
          <w:snapToGrid w:val="0"/>
          <w:color w:val="000000"/>
          <w:kern w:val="2"/>
          <w:sz w:val="21"/>
          <w:szCs w:val="21"/>
          <w:lang w:val="en-US" w:eastAsia="zh-CN" w:bidi="ar"/>
        </w:rPr>
        <w:t>於開曼群島註冊成立之有限公司</w:t>
      </w:r>
      <w:r>
        <w:rPr>
          <w:rFonts w:hint="default" w:ascii="等线" w:hAnsi="等线" w:eastAsia="PMingLiU" w:cs="等线"/>
          <w:i/>
          <w:iCs w:val="0"/>
          <w:snapToGrid w:val="0"/>
          <w:color w:val="000000"/>
          <w:kern w:val="2"/>
          <w:sz w:val="21"/>
          <w:szCs w:val="21"/>
          <w:lang w:val="en-US" w:eastAsia="zh-CN" w:bidi="ar"/>
        </w:rPr>
        <w:t>)</w:t>
      </w:r>
    </w:p>
    <w:p>
      <w:pPr>
        <w:keepNext w:val="0"/>
        <w:keepLines w:val="0"/>
        <w:widowControl w:val="0"/>
        <w:suppressLineNumbers w:val="0"/>
        <w:spacing w:before="0" w:beforeAutospacing="0" w:after="0" w:afterAutospacing="0" w:line="220" w:lineRule="exact"/>
        <w:ind w:left="0" w:right="0"/>
        <w:jc w:val="center"/>
        <w:rPr>
          <w:rFonts w:hint="default" w:ascii="等线" w:hAnsi="等线" w:eastAsia="等线" w:cs="等线"/>
          <w:kern w:val="2"/>
          <w:sz w:val="21"/>
          <w:szCs w:val="21"/>
        </w:rPr>
      </w:pPr>
      <w:r>
        <w:rPr>
          <w:rFonts w:hint="default" w:ascii="等线" w:hAnsi="等线" w:eastAsia="PMingLiU" w:cs="等线"/>
          <w:snapToGrid w:val="0"/>
          <w:color w:val="000000"/>
          <w:kern w:val="2"/>
          <w:sz w:val="21"/>
          <w:szCs w:val="21"/>
          <w:lang w:val="en-US" w:eastAsia="zh-CN" w:bidi="ar"/>
        </w:rPr>
        <w:t>(</w:t>
      </w:r>
      <w:r>
        <w:rPr>
          <w:rFonts w:hint="default" w:ascii="PMingLiU" w:hAnsi="PMingLiU" w:eastAsia="PMingLiU" w:cs="PMingLiU"/>
          <w:snapToGrid w:val="0"/>
          <w:color w:val="000000"/>
          <w:kern w:val="2"/>
          <w:sz w:val="21"/>
          <w:szCs w:val="21"/>
          <w:lang w:val="en-US" w:eastAsia="zh-CN" w:bidi="ar"/>
        </w:rPr>
        <w:t>股份代號</w:t>
      </w:r>
      <w:r>
        <w:rPr>
          <w:rFonts w:hint="default" w:ascii="等线" w:hAnsi="等线" w:eastAsia="PMingLiU" w:cs="等线"/>
          <w:snapToGrid w:val="0"/>
          <w:color w:val="000000"/>
          <w:kern w:val="2"/>
          <w:sz w:val="21"/>
          <w:szCs w:val="21"/>
          <w:lang w:val="en-US" w:eastAsia="zh-CN" w:bidi="ar"/>
        </w:rPr>
        <w:t>: 08225)</w:t>
      </w:r>
    </w:p>
    <w:p>
      <w:pPr>
        <w:spacing w:line="350" w:lineRule="auto"/>
      </w:pPr>
    </w:p>
    <w:p>
      <w:pPr>
        <w:spacing w:before="81" w:line="457" w:lineRule="auto"/>
        <w:ind w:left="0" w:right="863" w:firstLine="841" w:firstLineChars="300"/>
        <w:rPr>
          <w:rFonts w:ascii="Times New Roman" w:hAnsi="Times New Roman" w:eastAsia="宋体" w:cs="Times New Roman"/>
          <w:sz w:val="28"/>
          <w:szCs w:val="28"/>
          <w:lang w:eastAsia="zh-CN"/>
        </w:rPr>
      </w:pPr>
      <w:r>
        <w:rPr>
          <w:rFonts w:hint="default" w:ascii="宋体" w:hAnsi="宋体" w:eastAsia="宋体" w:cs="宋体"/>
          <w:b/>
          <w:bCs/>
          <w:sz w:val="28"/>
          <w:szCs w:val="28"/>
        </w:rPr>
        <w:t>关于</w:t>
      </w:r>
      <w:r>
        <w:rPr>
          <w:rFonts w:hint="default" w:ascii="宋体" w:hAnsi="宋体" w:eastAsia="宋体" w:cs="宋体"/>
          <w:b/>
          <w:bCs/>
          <w:sz w:val="28"/>
          <w:szCs w:val="28"/>
        </w:rPr>
        <w:t>截至2022年12月31日止年度報告的補充公告</w:t>
      </w:r>
    </w:p>
    <w:p>
      <w:pPr>
        <w:spacing w:line="453" w:lineRule="auto"/>
      </w:pPr>
    </w:p>
    <w:p>
      <w:pPr>
        <w:spacing w:line="270" w:lineRule="auto"/>
        <w:rPr>
          <w:rFonts w:hint="eastAsia"/>
          <w:sz w:val="22"/>
          <w:szCs w:val="22"/>
          <w:woUserID w:val="2"/>
        </w:rPr>
      </w:pPr>
      <w:r>
        <w:rPr>
          <w:rFonts w:hint="eastAsia" w:ascii="宋体" w:hAnsi="宋体" w:eastAsia="宋体" w:cs="宋体"/>
          <w:sz w:val="22"/>
          <w:szCs w:val="22"/>
          <w:lang w:val="en-US" w:eastAsia="zh-CN"/>
          <w:woUserID w:val="2"/>
        </w:rPr>
        <w:t>關於截至2022年12月31日的年度報告（“年度報告”），請參考中國醫療集團股份有限公司（以下簡稱“公司”）於2023年4月14日發佈的報告。除非另有說明，公司使用的術語應與年度報告中定義的含義相同。本公司在此僅提供與創業板規則18.47有關的進一步資訊，該規則要求發行人提供更詳細或額外的資訊</w:t>
      </w:r>
      <w:r>
        <w:rPr>
          <w:rFonts w:hint="eastAsia"/>
          <w:sz w:val="22"/>
          <w:szCs w:val="22"/>
          <w:lang w:val="en-US" w:eastAsia="zh-CN"/>
          <w:woUserID w:val="2"/>
        </w:rPr>
        <w:t xml:space="preserve">。 </w:t>
      </w:r>
    </w:p>
    <w:p>
      <w:pPr>
        <w:spacing w:line="270" w:lineRule="auto"/>
      </w:pPr>
    </w:p>
    <w:p>
      <w:pPr>
        <w:spacing w:line="270" w:lineRule="auto"/>
      </w:pPr>
    </w:p>
    <w:p>
      <w:pPr>
        <w:spacing w:before="67" w:line="292" w:lineRule="auto"/>
        <w:ind w:left="43" w:hanging="4"/>
        <w:rPr>
          <w:rFonts w:ascii="Times New Roman" w:hAnsi="Times New Roman" w:eastAsia="Times New Roman" w:cs="Times New Roman"/>
          <w:sz w:val="23"/>
          <w:szCs w:val="23"/>
        </w:rPr>
      </w:pPr>
      <w:r>
        <w:rPr>
          <w:rFonts w:hint="default" w:ascii="宋体" w:hAnsi="宋体" w:eastAsia="宋体" w:cs="宋体"/>
          <w:b/>
          <w:bCs/>
          <w:sz w:val="23"/>
          <w:szCs w:val="23"/>
        </w:rPr>
        <w:t>保留意見及其對本集團合併財務狀況的實際或潛在影響</w:t>
      </w:r>
    </w:p>
    <w:p>
      <w:pPr>
        <w:spacing w:before="66" w:line="285" w:lineRule="auto"/>
        <w:ind w:left="35" w:right="63" w:firstLine="4"/>
        <w:jc w:val="both"/>
        <w:rPr>
          <w:rFonts w:ascii="Times New Roman" w:hAnsi="Times New Roman" w:eastAsia="Times New Roman" w:cs="Times New Roman"/>
          <w:sz w:val="23"/>
          <w:szCs w:val="23"/>
        </w:rPr>
      </w:pPr>
      <w:r>
        <w:rPr>
          <w:rFonts w:hint="default" w:ascii="宋体" w:hAnsi="宋体" w:eastAsia="宋体" w:cs="宋体"/>
          <w:sz w:val="23"/>
          <w:szCs w:val="23"/>
        </w:rPr>
        <w:t>頁48到54節下的“獨立審計報告”年度報告，在截至2021年12月31日，集團</w:t>
      </w:r>
      <w:r>
        <w:rPr>
          <w:rFonts w:hint="default" w:ascii="宋体" w:hAnsi="宋体" w:eastAsia="宋体" w:cs="宋体"/>
          <w:sz w:val="23"/>
          <w:szCs w:val="23"/>
        </w:rPr>
        <w:t>确认</w:t>
      </w:r>
      <w:r>
        <w:rPr>
          <w:rFonts w:hint="default" w:ascii="宋体" w:hAnsi="宋体" w:eastAsia="宋体" w:cs="宋体"/>
          <w:sz w:val="23"/>
          <w:szCs w:val="23"/>
        </w:rPr>
        <w:t>提供ECL貿易和帳單應收賬款約381000元（“前年度條款”）不符合香港財務報告標準（“HKFRS”）9（修訂）金融工具。</w:t>
      </w:r>
    </w:p>
    <w:p>
      <w:pPr>
        <w:spacing w:before="66" w:line="285" w:lineRule="auto"/>
        <w:ind w:left="35" w:right="63" w:firstLine="4"/>
        <w:jc w:val="both"/>
        <w:rPr>
          <w:rFonts w:ascii="Times New Roman" w:hAnsi="Times New Roman" w:eastAsia="Times New Roman" w:cs="Times New Roman"/>
          <w:sz w:val="23"/>
          <w:szCs w:val="23"/>
          <w:lang w:eastAsia="zh-CN"/>
        </w:rPr>
      </w:pPr>
    </w:p>
    <w:p>
      <w:pPr>
        <w:kinsoku/>
        <w:autoSpaceDE/>
        <w:autoSpaceDN/>
        <w:adjustRightInd/>
        <w:snapToGrid/>
        <w:jc w:val="both"/>
        <w:textAlignment w:val="auto"/>
        <w:rPr>
          <w:rFonts w:ascii="Times New Roman" w:hAnsi="Times New Roman" w:eastAsia="Times New Roman" w:cs="Times New Roman"/>
          <w:sz w:val="23"/>
          <w:szCs w:val="23"/>
          <w:lang w:eastAsia="zh-CN"/>
        </w:rPr>
      </w:pPr>
      <w:r>
        <w:rPr>
          <w:rFonts w:hint="default" w:ascii="宋体" w:hAnsi="宋体" w:eastAsia="宋体" w:cs="宋体"/>
          <w:sz w:val="23"/>
          <w:szCs w:val="23"/>
          <w:lang w:eastAsia="zh-CN"/>
        </w:rPr>
        <w:t>在截至2022年12月31日的年度內，公司董事根據香港財務報告準則第9號的要求，對截至2021年12月30日的集團應收賬款和票據進行了ECL評估。根據修訂後的ECL評估，本集團應進一步彌補截至2021年12月31日的貿易和應收票據的約2,85.1萬元人民幣的信貸損失。然而，該等信貸損失備抵已在截至2022年12月31日止的年度合併財務報表中確認。因此，截至2021年12月31日的貿易和票據應收賬款的淨帳面價值，截至2021年12月31日的年度利潤和綜合總收入，2021年12月31日的累計利潤和截至2022年12月31日的年度的損失和綜合費用總額被誇大了約2851000元。</w:t>
      </w:r>
    </w:p>
    <w:p>
      <w:pPr>
        <w:spacing w:before="66" w:line="285" w:lineRule="auto"/>
        <w:ind w:right="63"/>
        <w:jc w:val="both"/>
        <w:rPr>
          <w:rFonts w:ascii="Times New Roman" w:hAnsi="Times New Roman" w:eastAsia="Times New Roman" w:cs="Times New Roman"/>
          <w:sz w:val="23"/>
          <w:szCs w:val="23"/>
          <w:lang w:eastAsia="zh-CN"/>
        </w:rPr>
      </w:pPr>
    </w:p>
    <w:p>
      <w:pPr>
        <w:spacing w:line="270" w:lineRule="auto"/>
        <w:rPr>
          <w:rFonts w:hint="default" w:ascii="宋体" w:hAnsi="宋体" w:eastAsia="宋体" w:cs="宋体"/>
          <w:sz w:val="23"/>
          <w:szCs w:val="23"/>
          <w:lang w:eastAsia="zh-CN"/>
        </w:rPr>
      </w:pPr>
      <w:r>
        <w:rPr>
          <w:rFonts w:hint="default" w:ascii="宋体" w:hAnsi="宋体" w:eastAsia="宋体" w:cs="宋体"/>
          <w:sz w:val="23"/>
          <w:szCs w:val="23"/>
          <w:lang w:eastAsia="zh-CN"/>
        </w:rPr>
        <w:t>因此，由於對會計處理存在分歧，審計師對截至2021年12月31日的上述期初餘額以及截至2021年和2022年12月30日的年度損益和綜合收入/支出總額中確認的貿易和票據應收款的ECL備抵進行了限定。然而，截至2022年12月31日的貿易和應收票據ECL備抵是公允的。</w:t>
      </w:r>
    </w:p>
    <w:p>
      <w:pPr>
        <w:spacing w:line="270" w:lineRule="auto"/>
        <w:rPr>
          <w:rFonts w:hint="default" w:ascii="宋体" w:hAnsi="宋体" w:eastAsia="宋体" w:cs="宋体"/>
          <w:sz w:val="23"/>
          <w:szCs w:val="23"/>
          <w:lang w:eastAsia="zh-CN"/>
        </w:rPr>
      </w:pPr>
    </w:p>
    <w:p>
      <w:pPr>
        <w:spacing w:before="66" w:line="303" w:lineRule="auto"/>
        <w:ind w:left="18" w:right="22"/>
        <w:rPr>
          <w:rFonts w:hint="default" w:ascii="宋体" w:hAnsi="宋体" w:eastAsia="宋体" w:cs="宋体"/>
          <w:b/>
          <w:bCs/>
          <w:sz w:val="23"/>
          <w:szCs w:val="23"/>
        </w:rPr>
      </w:pPr>
    </w:p>
    <w:p>
      <w:pPr>
        <w:spacing w:before="66" w:line="303" w:lineRule="auto"/>
        <w:ind w:left="18" w:right="22"/>
        <w:rPr>
          <w:rFonts w:hint="default" w:ascii="宋体" w:hAnsi="宋体" w:eastAsia="宋体" w:cs="宋体"/>
          <w:b/>
          <w:bCs/>
          <w:sz w:val="23"/>
          <w:szCs w:val="23"/>
        </w:rPr>
      </w:pPr>
    </w:p>
    <w:p>
      <w:pPr>
        <w:spacing w:before="66" w:line="303" w:lineRule="auto"/>
        <w:ind w:left="18" w:right="22"/>
        <w:rPr>
          <w:rFonts w:hint="default" w:ascii="宋体" w:hAnsi="宋体" w:eastAsia="宋体" w:cs="宋体"/>
          <w:b/>
          <w:bCs/>
          <w:sz w:val="23"/>
          <w:szCs w:val="23"/>
        </w:rPr>
      </w:pPr>
    </w:p>
    <w:p>
      <w:pPr>
        <w:spacing w:before="66" w:line="303" w:lineRule="auto"/>
        <w:ind w:left="18" w:right="22"/>
        <w:rPr>
          <w:rFonts w:hint="default" w:ascii="Times New Roman" w:hAnsi="Times New Roman" w:eastAsia="Times New Roman" w:cs="Times New Roman"/>
          <w:sz w:val="23"/>
          <w:szCs w:val="23"/>
        </w:rPr>
      </w:pPr>
      <w:r>
        <w:rPr>
          <w:rFonts w:hint="default" w:ascii="宋体" w:hAnsi="宋体" w:eastAsia="宋体" w:cs="宋体"/>
          <w:b/>
          <w:bCs/>
          <w:sz w:val="23"/>
          <w:szCs w:val="23"/>
        </w:rPr>
        <w:t>董事會的</w:t>
      </w:r>
      <w:r>
        <w:rPr>
          <w:rFonts w:hint="default" w:ascii="宋体" w:hAnsi="宋体" w:eastAsia="宋体" w:cs="宋体"/>
          <w:b/>
          <w:bCs/>
          <w:sz w:val="23"/>
          <w:szCs w:val="23"/>
        </w:rPr>
        <w:t>立场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both"/>
        <w:rPr>
          <w:rFonts w:ascii="Times New Roman" w:hAnsi="Times New Roman" w:eastAsia="Times New Roman" w:cs="Times New Roman"/>
          <w:sz w:val="23"/>
          <w:szCs w:val="23"/>
        </w:rPr>
      </w:pPr>
      <w:r>
        <w:rPr>
          <w:rFonts w:hint="default" w:ascii="宋体" w:hAnsi="宋体" w:eastAsia="宋体" w:cs="宋体"/>
          <w:spacing w:val="10"/>
          <w:sz w:val="23"/>
          <w:szCs w:val="23"/>
        </w:rPr>
        <w:t>董事會瞭解應收賬款和應收票據ECL備抵資格的依據，並就該事項同意審計師的資格。審計員對截至2022年12月31日的應收賬款和應收票據的ECL津貼感到滿意。然而，由於審計資格將對本公司截至2023年12月31日的年度業績的比較數據產生影響，因此，該保留意見預計將在截至2024年12月31日的年度審計報告中得到提高。除此之外，董事會預計在未來的財務年度中，與審計資格有關的事項不會產生任何其他進一步的影響。</w:t>
      </w:r>
    </w:p>
    <w:p>
      <w:pPr>
        <w:spacing w:line="270" w:lineRule="auto"/>
        <w:rPr>
          <w:rFonts w:eastAsia="PMingLiU"/>
        </w:rPr>
      </w:pPr>
    </w:p>
    <w:p>
      <w:pPr>
        <w:spacing w:before="66" w:line="289" w:lineRule="auto"/>
        <w:ind w:left="22" w:right="22" w:hanging="6"/>
        <w:rPr>
          <w:rFonts w:ascii="Times New Roman" w:hAnsi="Times New Roman" w:eastAsia="PMingLiU" w:cs="Times New Roman"/>
          <w:b/>
          <w:bCs/>
          <w:spacing w:val="31"/>
          <w:sz w:val="23"/>
          <w:szCs w:val="23"/>
        </w:rPr>
      </w:pPr>
      <w:r>
        <w:rPr>
          <w:rFonts w:hint="default" w:ascii="宋体" w:hAnsi="宋体" w:eastAsia="宋体" w:cs="宋体"/>
          <w:b/>
          <w:bCs/>
          <w:sz w:val="23"/>
          <w:szCs w:val="23"/>
        </w:rPr>
        <w:t>審計委員會的觀點</w:t>
      </w:r>
    </w:p>
    <w:p>
      <w:pPr>
        <w:spacing w:before="66" w:line="300" w:lineRule="auto"/>
        <w:ind w:right="2"/>
        <w:jc w:val="both"/>
        <w:rPr>
          <w:rFonts w:ascii="Times New Roman" w:hAnsi="Times New Roman" w:eastAsia="Times New Roman" w:cs="Times New Roman"/>
          <w:sz w:val="23"/>
          <w:szCs w:val="23"/>
        </w:rPr>
      </w:pPr>
      <w:r>
        <w:rPr>
          <w:rFonts w:hint="default" w:ascii="宋体" w:hAnsi="宋体" w:eastAsia="宋体" w:cs="宋体"/>
          <w:sz w:val="23"/>
          <w:szCs w:val="23"/>
        </w:rPr>
        <w:t>審計委員會確認，他們理解保留意見的基礎。他們還審查並同意了上述董事會的立場。股東和潛在投資者在交易本公司股票時應謹慎行事，如果有疑問，應向專業人士或財務顧問尋求獨立建議</w:t>
      </w:r>
      <w:r>
        <w:rPr>
          <w:rFonts w:hint="default" w:ascii="宋体" w:hAnsi="宋体" w:eastAsia="宋体" w:cs="宋体"/>
          <w:sz w:val="23"/>
          <w:szCs w:val="23"/>
        </w:rPr>
        <w:t>。</w:t>
      </w:r>
    </w:p>
    <w:p>
      <w:pPr>
        <w:spacing w:line="279" w:lineRule="auto"/>
      </w:pPr>
    </w:p>
    <w:p>
      <w:pPr>
        <w:spacing w:line="279" w:lineRule="auto"/>
      </w:pPr>
    </w:p>
    <w:p>
      <w:pPr>
        <w:spacing w:before="66" w:line="316" w:lineRule="exact"/>
        <w:ind w:right="369"/>
        <w:jc w:val="left"/>
        <w:rPr>
          <w:rFonts w:ascii="Times New Roman" w:hAnsi="Times New Roman" w:eastAsia="Times New Roman" w:cs="Times New Roman"/>
          <w:sz w:val="23"/>
          <w:szCs w:val="23"/>
        </w:rPr>
      </w:pPr>
      <w:r>
        <w:rPr>
          <w:rFonts w:hint="default" w:ascii="宋体" w:hAnsi="宋体" w:eastAsia="宋体" w:cs="宋体"/>
          <w:position w:val="4"/>
          <w:sz w:val="23"/>
          <w:szCs w:val="23"/>
        </w:rPr>
        <w:t xml:space="preserve">                                                       承</w:t>
      </w:r>
      <w:r>
        <w:rPr>
          <w:rFonts w:hint="default" w:ascii="宋体" w:hAnsi="宋体" w:eastAsia="宋体" w:cs="宋体"/>
          <w:position w:val="4"/>
          <w:sz w:val="23"/>
          <w:szCs w:val="23"/>
        </w:rPr>
        <w:t>董事會命</w:t>
      </w:r>
    </w:p>
    <w:p>
      <w:pPr>
        <w:spacing w:line="286" w:lineRule="auto"/>
        <w:ind w:left="6507" w:right="77" w:hanging="791"/>
        <w:rPr>
          <w:rFonts w:hint="default" w:ascii="宋体" w:hAnsi="宋体" w:eastAsia="宋体" w:cs="宋体"/>
          <w:b/>
          <w:bCs/>
          <w:color w:val="231F20"/>
          <w:sz w:val="23"/>
          <w:szCs w:val="23"/>
        </w:rPr>
      </w:pPr>
      <w:r>
        <w:rPr>
          <w:rFonts w:hint="default" w:ascii="宋体" w:hAnsi="宋体" w:eastAsia="宋体" w:cs="宋体"/>
          <w:b/>
          <w:bCs/>
          <w:color w:val="231F20"/>
          <w:sz w:val="23"/>
          <w:szCs w:val="23"/>
        </w:rPr>
        <w:t xml:space="preserve">  </w:t>
      </w:r>
      <w:r>
        <w:rPr>
          <w:rFonts w:hint="default" w:ascii="宋体" w:hAnsi="宋体" w:eastAsia="宋体" w:cs="宋体"/>
          <w:b/>
          <w:bCs/>
          <w:color w:val="231F20"/>
          <w:sz w:val="23"/>
          <w:szCs w:val="23"/>
        </w:rPr>
        <w:t>中國</w:t>
      </w:r>
      <w:r>
        <w:rPr>
          <w:rFonts w:hint="default" w:ascii="宋体" w:hAnsi="宋体" w:eastAsia="宋体" w:cs="宋体"/>
          <w:b/>
          <w:bCs/>
          <w:color w:val="231F20"/>
          <w:sz w:val="23"/>
          <w:szCs w:val="23"/>
        </w:rPr>
        <w:t>医疗</w:t>
      </w:r>
      <w:r>
        <w:rPr>
          <w:rFonts w:hint="default" w:ascii="宋体" w:hAnsi="宋体" w:eastAsia="宋体" w:cs="宋体"/>
          <w:b/>
          <w:bCs/>
          <w:color w:val="231F20"/>
          <w:sz w:val="23"/>
          <w:szCs w:val="23"/>
        </w:rPr>
        <w:t>集團公司</w:t>
      </w:r>
    </w:p>
    <w:p>
      <w:pPr>
        <w:spacing w:line="286" w:lineRule="auto"/>
        <w:ind w:left="6067" w:leftChars="2889" w:right="77" w:firstLine="518" w:firstLineChars="225"/>
        <w:rPr>
          <w:rFonts w:hint="default" w:ascii="Times New Roman" w:hAnsi="Times New Roman" w:eastAsia="宋体" w:cs="Times New Roman"/>
          <w:sz w:val="23"/>
          <w:szCs w:val="23"/>
          <w:lang w:val="en-US" w:eastAsia="zh-CN"/>
        </w:rPr>
      </w:pPr>
      <w:r>
        <w:rPr>
          <w:rFonts w:hint="eastAsia" w:ascii="宋体" w:hAnsi="宋体" w:eastAsia="宋体" w:cs="宋体"/>
          <w:b/>
          <w:bCs/>
          <w:color w:val="231F20"/>
          <w:sz w:val="23"/>
          <w:szCs w:val="23"/>
          <w:lang w:val="en-US" w:eastAsia="zh-CN"/>
        </w:rPr>
        <w:t>郭夏</w:t>
      </w:r>
    </w:p>
    <w:p>
      <w:pPr>
        <w:spacing w:line="312" w:lineRule="exact"/>
        <w:ind w:left="6517"/>
        <w:rPr>
          <w:rFonts w:ascii="Times New Roman" w:hAnsi="Times New Roman" w:eastAsia="Times New Roman" w:cs="Times New Roman"/>
          <w:sz w:val="23"/>
          <w:szCs w:val="23"/>
        </w:rPr>
      </w:pPr>
      <w:r>
        <w:rPr>
          <w:rFonts w:hint="default" w:ascii="宋体" w:hAnsi="宋体" w:eastAsia="宋体" w:cs="宋体"/>
          <w:i/>
          <w:iCs/>
          <w:color w:val="231F20"/>
          <w:spacing w:val="3"/>
          <w:position w:val="2"/>
          <w:sz w:val="23"/>
          <w:szCs w:val="23"/>
        </w:rPr>
        <w:t>主席</w:t>
      </w:r>
    </w:p>
    <w:p>
      <w:pPr>
        <w:spacing w:before="302" w:line="322" w:lineRule="exact"/>
        <w:ind w:left="18"/>
        <w:rPr>
          <w:rFonts w:hint="default" w:ascii="宋体" w:hAnsi="宋体" w:eastAsia="宋体" w:cs="宋体"/>
          <w:color w:val="000000"/>
          <w:spacing w:val="0"/>
          <w:position w:val="0"/>
          <w:sz w:val="23"/>
          <w:szCs w:val="23"/>
        </w:rPr>
      </w:pPr>
      <w:r>
        <w:rPr>
          <w:rFonts w:hint="default" w:ascii="宋体" w:hAnsi="宋体" w:eastAsia="宋体" w:cs="宋体"/>
          <w:color w:val="231F20"/>
          <w:spacing w:val="9"/>
          <w:position w:val="4"/>
          <w:sz w:val="23"/>
          <w:szCs w:val="23"/>
        </w:rPr>
        <w:t>二零二三</w:t>
      </w:r>
      <w:r>
        <w:rPr>
          <w:rFonts w:hint="default" w:ascii="宋体" w:hAnsi="宋体" w:eastAsia="宋体" w:cs="宋体"/>
          <w:color w:val="231F20"/>
          <w:spacing w:val="9"/>
          <w:position w:val="4"/>
          <w:sz w:val="23"/>
          <w:szCs w:val="23"/>
        </w:rPr>
        <w:t>年</w:t>
      </w:r>
      <w:r>
        <w:rPr>
          <w:rFonts w:hint="default" w:ascii="宋体" w:hAnsi="宋体" w:eastAsia="宋体" w:cs="宋体"/>
          <w:color w:val="231F20"/>
          <w:spacing w:val="9"/>
          <w:position w:val="4"/>
          <w:sz w:val="23"/>
          <w:szCs w:val="23"/>
        </w:rPr>
        <w:t>七</w:t>
      </w:r>
      <w:r>
        <w:rPr>
          <w:rFonts w:hint="default" w:ascii="宋体" w:hAnsi="宋体" w:eastAsia="宋体" w:cs="宋体"/>
          <w:color w:val="000000"/>
          <w:spacing w:val="0"/>
          <w:position w:val="0"/>
          <w:sz w:val="23"/>
          <w:szCs w:val="23"/>
        </w:rPr>
        <w:t>月</w:t>
      </w:r>
      <w:r>
        <w:rPr>
          <w:rFonts w:hint="default" w:ascii="宋体" w:hAnsi="宋体" w:eastAsia="宋体" w:cs="宋体"/>
          <w:color w:val="000000"/>
          <w:spacing w:val="0"/>
          <w:position w:val="0"/>
          <w:sz w:val="23"/>
          <w:szCs w:val="23"/>
        </w:rPr>
        <w:t>七</w:t>
      </w:r>
      <w:r>
        <w:rPr>
          <w:rFonts w:hint="default" w:ascii="宋体" w:hAnsi="宋体" w:eastAsia="宋体" w:cs="宋体"/>
          <w:color w:val="000000"/>
          <w:spacing w:val="0"/>
          <w:position w:val="0"/>
          <w:sz w:val="23"/>
          <w:szCs w:val="23"/>
        </w:rPr>
        <w:t>日</w:t>
      </w:r>
    </w:p>
    <w:p>
      <w:pPr>
        <w:spacing w:before="302" w:line="322" w:lineRule="exact"/>
        <w:ind w:left="18"/>
        <w:rPr>
          <w:rFonts w:hint="default" w:ascii="宋体" w:hAnsi="宋体" w:eastAsia="宋体" w:cs="宋体"/>
          <w:color w:val="000000"/>
          <w:spacing w:val="0"/>
          <w:position w:val="0"/>
          <w:sz w:val="23"/>
          <w:szCs w:val="23"/>
          <w:lang w:eastAsia="zh-CN"/>
        </w:rPr>
      </w:pPr>
      <w:r>
        <w:rPr>
          <w:rFonts w:hint="default" w:ascii="宋体" w:hAnsi="宋体" w:eastAsia="宋体" w:cs="宋体"/>
          <w:color w:val="000000"/>
          <w:spacing w:val="0"/>
          <w:position w:val="0"/>
          <w:sz w:val="23"/>
          <w:szCs w:val="23"/>
        </w:rPr>
        <w:t>中国香港</w:t>
      </w: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pStyle w:val="8"/>
        <w:keepNext w:val="0"/>
        <w:keepLines w:val="0"/>
        <w:widowControl w:val="0"/>
        <w:suppressLineNumbers w:val="0"/>
        <w:spacing w:line="460" w:lineRule="exact"/>
        <w:rPr>
          <w:rFonts w:hint="eastAsia" w:ascii="宋体" w:hAnsi="宋体" w:eastAsia="PMingLiU" w:cs="PMingLiU"/>
          <w:i/>
          <w:iCs/>
          <w:color w:val="000000"/>
          <w:sz w:val="21"/>
          <w:szCs w:val="21"/>
        </w:rPr>
      </w:pPr>
      <w:r>
        <w:rPr>
          <w:rFonts w:hint="eastAsia" w:ascii="宋体" w:hAnsi="宋体" w:eastAsia="宋体" w:cs="宋体"/>
          <w:i/>
          <w:iCs/>
          <w:color w:val="000000"/>
          <w:sz w:val="21"/>
          <w:szCs w:val="21"/>
        </w:rPr>
        <w:t>於本公佈日期，董事會成員包括兩名執行董事，分別爲郭夏先生（本公司之主席）及宋雪梅博士；一名非執行董事，爲張麗女士；四名獨立非執行董事，分別爲仇銳先生、倪彬暉博士、甄嶺先生及郭彤先生。</w:t>
      </w:r>
    </w:p>
    <w:p>
      <w:pPr>
        <w:pStyle w:val="8"/>
        <w:keepNext w:val="0"/>
        <w:keepLines w:val="0"/>
        <w:widowControl w:val="0"/>
        <w:suppressLineNumbers w:val="0"/>
        <w:spacing w:line="460" w:lineRule="exact"/>
        <w:rPr>
          <w:rFonts w:hint="eastAsia" w:ascii="宋体" w:hAnsi="宋体" w:eastAsia="PMingLiU" w:cs="PMingLiU"/>
          <w:i/>
          <w:iCs/>
          <w:color w:val="000000"/>
          <w:sz w:val="21"/>
          <w:szCs w:val="21"/>
        </w:rPr>
      </w:pPr>
      <w:r>
        <w:rPr>
          <w:rFonts w:hint="eastAsia" w:ascii="宋体" w:hAnsi="宋体" w:eastAsia="PMingLiU" w:cs="PMingLiU"/>
          <w:i/>
          <w:iCs/>
          <w:color w:val="000000"/>
          <w:sz w:val="21"/>
          <w:szCs w:val="21"/>
        </w:rPr>
        <w:t xml:space="preserve"> </w:t>
      </w:r>
    </w:p>
    <w:p>
      <w:pPr>
        <w:pStyle w:val="8"/>
        <w:keepNext w:val="0"/>
        <w:keepLines w:val="0"/>
        <w:widowControl w:val="0"/>
        <w:suppressLineNumbers w:val="0"/>
        <w:spacing w:line="460" w:lineRule="exact"/>
        <w:rPr>
          <w:rFonts w:hint="eastAsia" w:ascii="宋体" w:hAnsi="宋体" w:eastAsia="PMingLiU" w:cs="PMingLiU"/>
          <w:i/>
          <w:iCs/>
          <w:color w:val="000000"/>
          <w:sz w:val="21"/>
          <w:szCs w:val="21"/>
        </w:rPr>
      </w:pPr>
      <w:r>
        <w:rPr>
          <w:rFonts w:hint="eastAsia" w:ascii="宋体" w:hAnsi="宋体" w:eastAsia="宋体" w:cs="宋体"/>
          <w:i/>
          <w:iCs/>
          <w:color w:val="000000"/>
          <w:sz w:val="21"/>
          <w:szCs w:val="21"/>
        </w:rPr>
        <w:t>本公佈載有根據GEM上市規則規定須提供有關本公司資料的詳情，董事原就本公佈共同及個別地承擔全部責任。各董事經作出一切合理查詢後，確認就彼等所知並所信：本公佈所載資料在各重大方面均屬準確及完整，且無誤導或欺詐成份；且概無遺漏任何其他事實致使本公佈所載任何內容產生誤導。</w:t>
      </w:r>
    </w:p>
    <w:p>
      <w:pPr>
        <w:pStyle w:val="8"/>
        <w:keepNext w:val="0"/>
        <w:keepLines w:val="0"/>
        <w:widowControl w:val="0"/>
        <w:suppressLineNumbers w:val="0"/>
        <w:spacing w:line="460" w:lineRule="exact"/>
        <w:rPr>
          <w:rFonts w:hint="eastAsia" w:ascii="宋体" w:hAnsi="宋体" w:eastAsia="PMingLiU" w:cs="PMingLiU"/>
          <w:i/>
          <w:iCs/>
          <w:color w:val="000000"/>
          <w:sz w:val="21"/>
          <w:szCs w:val="21"/>
        </w:rPr>
      </w:pPr>
      <w:r>
        <w:rPr>
          <w:rFonts w:hint="eastAsia" w:ascii="宋体" w:hAnsi="宋体" w:eastAsia="PMingLiU" w:cs="PMingLiU"/>
          <w:i/>
          <w:iCs/>
          <w:color w:val="000000"/>
          <w:sz w:val="21"/>
          <w:szCs w:val="21"/>
        </w:rPr>
        <w:t xml:space="preserve"> </w:t>
      </w:r>
    </w:p>
    <w:p>
      <w:pPr>
        <w:keepNext w:val="0"/>
        <w:keepLines w:val="0"/>
        <w:widowControl w:val="0"/>
        <w:suppressLineNumbers w:val="0"/>
        <w:spacing w:before="0" w:beforeAutospacing="0" w:after="0" w:afterAutospacing="0"/>
        <w:ind w:left="0" w:right="0"/>
        <w:jc w:val="both"/>
      </w:pPr>
      <w:r>
        <w:rPr>
          <w:rFonts w:hint="eastAsia" w:ascii="宋体" w:hAnsi="宋体" w:eastAsia="宋体" w:cs="宋体"/>
          <w:i/>
          <w:iCs/>
          <w:snapToGrid w:val="0"/>
          <w:color w:val="000000"/>
          <w:kern w:val="2"/>
          <w:sz w:val="21"/>
          <w:szCs w:val="21"/>
          <w:lang w:val="en-US" w:eastAsia="zh-CN" w:bidi="ar"/>
        </w:rPr>
        <w:t>本公佈將於創業板網址</w:t>
      </w:r>
      <w:r>
        <w:rPr>
          <w:rFonts w:hint="eastAsia" w:ascii="宋体" w:hAnsi="宋体" w:eastAsia="宋体" w:cs="PMingLiU"/>
          <w:i/>
          <w:iCs/>
          <w:snapToGrid w:val="0"/>
          <w:color w:val="000000"/>
          <w:kern w:val="2"/>
          <w:sz w:val="21"/>
          <w:szCs w:val="21"/>
          <w:lang w:val="en-US" w:eastAsia="zh-CN" w:bidi="ar"/>
        </w:rPr>
        <w:t xml:space="preserve"> </w:t>
      </w:r>
      <w:r>
        <w:rPr>
          <w:rFonts w:hint="eastAsia" w:ascii="宋体" w:hAnsi="宋体" w:eastAsia="宋体" w:cs="宋体"/>
          <w:i/>
          <w:iCs/>
          <w:snapToGrid w:val="0"/>
          <w:color w:val="000000"/>
          <w:kern w:val="2"/>
          <w:sz w:val="21"/>
          <w:szCs w:val="21"/>
          <w:lang w:val="en-US" w:eastAsia="zh-CN" w:bidi="ar"/>
        </w:rPr>
        <w:t>www.hkgem.com之「最新公司公告」網頁登出，由登出日期起計為期七日，並於本公司網址www.chgi.net網頁登出。</w:t>
      </w:r>
    </w:p>
    <w:p>
      <w:pPr>
        <w:spacing w:before="305" w:line="285" w:lineRule="auto"/>
        <w:ind w:right="11" w:firstLine="58"/>
        <w:rPr>
          <w:rFonts w:ascii="Times New Roman" w:hAnsi="Times New Roman" w:eastAsia="Times New Roman" w:cs="Times New Roman"/>
          <w:sz w:val="23"/>
          <w:szCs w:val="23"/>
        </w:rPr>
      </w:pPr>
    </w:p>
    <w:sectPr>
      <w:pgSz w:w="11906" w:h="16839"/>
      <w:pgMar w:top="1431" w:right="1722" w:bottom="0" w:left="1758"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AFF" w:usb1="C0007843" w:usb2="00000009" w:usb3="00000000" w:csb0="400001FF" w:csb1="FFFF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PMingLiU">
    <w:altName w:val="汉仪中等线KW"/>
    <w:panose1 w:val="02020500000000000000"/>
    <w:charset w:val="88"/>
    <w:family w:val="roman"/>
    <w:pitch w:val="default"/>
    <w:sig w:usb0="00000000" w:usb1="00000000" w:usb2="00000016" w:usb3="00000000" w:csb0="00100001" w:csb1="00000000"/>
  </w:font>
  <w:font w:name="汉仪中等线KW">
    <w:panose1 w:val="01010104010101010101"/>
    <w:charset w:val="86"/>
    <w:family w:val="auto"/>
    <w:pitch w:val="default"/>
    <w:sig w:usb0="800002BF" w:usb1="004F7CFA" w:usb2="00000000" w:usb3="00000000" w:csb0="00040001" w:csb1="00000000"/>
  </w:font>
  <w:font w:name="等线">
    <w:altName w:val="汉仪中等线KW"/>
    <w:panose1 w:val="00000000000000000000"/>
    <w:charset w:val="00"/>
    <w:family w:val="auto"/>
    <w:pitch w:val="default"/>
    <w:sig w:usb0="00000000" w:usb1="00000000" w:usb2="00000000" w:usb3="00000000" w:csb0="00000000" w:csb1="00000000"/>
  </w:font>
  <w:font w:name="PMingLiU">
    <w:altName w:val="汉仪中等线KW"/>
    <w:panose1 w:val="00000000000000000000"/>
    <w:charset w:val="00"/>
    <w:family w:val="auto"/>
    <w:pitch w:val="default"/>
    <w:sig w:usb0="00000000" w:usb1="00000000" w:usb2="00000000" w:usb3="00000000" w:csb0="00000000" w:csb1="00000000"/>
  </w:font>
  <w:font w:name="HDPCAM+MSung-Light">
    <w:altName w:val="Times New Roman"/>
    <w:panose1 w:val="00000000000000000000"/>
    <w:charset w:val="00"/>
    <w:family w:val="auto"/>
    <w:pitch w:val="default"/>
    <w:sig w:usb0="00000000" w:usb1="00000000" w:usb2="00000000" w:usb3="00000000" w:csb0="00000000" w:csb1="00000000"/>
  </w:font>
  <w:font w:name="HDPCAM + MSung-Light">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80"/>
  <w:displayHorizontalDrawingGridEvery w:val="0"/>
  <w:displayVerticalDrawingGridEvery w:val="2"/>
  <w:characterSpacingControl w:val="doNotCompress"/>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
  <w:docVars>
    <w:docVar w:name="commondata" w:val="eyJoZGlkIjoiMzExMDFmMTRhZWVmZWEyZmM4NzNiYTczN2JlNGI4YzIifQ=="/>
  </w:docVars>
  <w:rsids>
    <w:rsidRoot w:val="00277EF5"/>
    <w:rsid w:val="00133964"/>
    <w:rsid w:val="00277EF5"/>
    <w:rsid w:val="002909C1"/>
    <w:rsid w:val="003032AE"/>
    <w:rsid w:val="00332A67"/>
    <w:rsid w:val="00517BBB"/>
    <w:rsid w:val="00530CBD"/>
    <w:rsid w:val="007E590E"/>
    <w:rsid w:val="00800C34"/>
    <w:rsid w:val="008059D4"/>
    <w:rsid w:val="008A016E"/>
    <w:rsid w:val="008E2077"/>
    <w:rsid w:val="008F7E34"/>
    <w:rsid w:val="00BA0690"/>
    <w:rsid w:val="00BE7655"/>
    <w:rsid w:val="00EA21DD"/>
    <w:rsid w:val="00FB1CD3"/>
    <w:rsid w:val="00FE484C"/>
    <w:rsid w:val="015D04BD"/>
    <w:rsid w:val="050E0DC5"/>
    <w:rsid w:val="06EF431F"/>
    <w:rsid w:val="21AC77CE"/>
    <w:rsid w:val="34DE0C05"/>
    <w:rsid w:val="3BF6D2FC"/>
    <w:rsid w:val="417B529C"/>
    <w:rsid w:val="45737CCF"/>
    <w:rsid w:val="460E5F44"/>
    <w:rsid w:val="4C897863"/>
    <w:rsid w:val="51660DCC"/>
    <w:rsid w:val="564864EF"/>
    <w:rsid w:val="591250FF"/>
    <w:rsid w:val="602D6B0E"/>
    <w:rsid w:val="617368D1"/>
    <w:rsid w:val="6CBD6274"/>
    <w:rsid w:val="6FDC7052"/>
    <w:rsid w:val="734553EF"/>
    <w:rsid w:val="7F7F5C71"/>
    <w:rsid w:val="7FEB74F3"/>
    <w:rsid w:val="7FF9C92D"/>
    <w:rsid w:val="BBAE9BDA"/>
    <w:rsid w:val="BE7DB264"/>
    <w:rsid w:val="DFFF383F"/>
    <w:rsid w:val="FEFFB970"/>
    <w:rsid w:val="FFC3E5AD"/>
    <w:rsid w:val="FFEE2BA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TW" w:bidi="ar-SA"/>
    </w:rPr>
  </w:style>
  <w:style w:type="paragraph" w:styleId="2">
    <w:name w:val="heading 1"/>
    <w:basedOn w:val="1"/>
    <w:next w:val="1"/>
    <w:qFormat/>
    <w:uiPriority w:val="0"/>
    <w:pPr>
      <w:keepNext/>
      <w:keepLines w:val="0"/>
      <w:widowControl w:val="0"/>
      <w:suppressLineNumbers w:val="0"/>
      <w:spacing w:before="180" w:beforeAutospacing="0" w:after="180" w:afterAutospacing="0" w:line="720" w:lineRule="auto"/>
      <w:jc w:val="left"/>
      <w:outlineLvl w:val="0"/>
    </w:pPr>
    <w:rPr>
      <w:rFonts w:hint="default" w:ascii="Arial" w:hAnsi="Arial" w:eastAsia="PMingLiU" w:cs="Times New Roman"/>
      <w:b/>
      <w:bCs/>
      <w:kern w:val="52"/>
      <w:sz w:val="52"/>
      <w:szCs w:val="52"/>
      <w:lang w:val="en-US" w:eastAsia="zh-CN" w:bidi="ar"/>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customStyle="1" w:styleId="6">
    <w:name w:val="Table Normal"/>
    <w:semiHidden/>
    <w:unhideWhenUsed/>
    <w:qFormat/>
    <w:uiPriority w:val="0"/>
    <w:tblPr>
      <w:tblCellMar>
        <w:top w:w="0" w:type="dxa"/>
        <w:left w:w="0" w:type="dxa"/>
        <w:bottom w:w="0" w:type="dxa"/>
        <w:right w:w="0" w:type="dxa"/>
      </w:tblCellMar>
    </w:tblPr>
  </w:style>
  <w:style w:type="paragraph" w:customStyle="1" w:styleId="7">
    <w:name w:val="Revision"/>
    <w:hidden/>
    <w:unhideWhenUsed/>
    <w:qFormat/>
    <w:uiPriority w:val="99"/>
    <w:rPr>
      <w:rFonts w:ascii="Arial" w:hAnsi="Arial" w:eastAsia="Arial" w:cs="Arial"/>
      <w:snapToGrid w:val="0"/>
      <w:color w:val="000000"/>
      <w:sz w:val="21"/>
      <w:szCs w:val="21"/>
      <w:lang w:val="en-US" w:eastAsia="zh-TW" w:bidi="ar-SA"/>
    </w:rPr>
  </w:style>
  <w:style w:type="paragraph" w:customStyle="1" w:styleId="8">
    <w:name w:val="Default"/>
    <w:basedOn w:val="1"/>
    <w:uiPriority w:val="0"/>
    <w:pPr>
      <w:keepNext w:val="0"/>
      <w:keepLines w:val="0"/>
      <w:widowControl w:val="0"/>
      <w:suppressLineNumbers w:val="0"/>
      <w:autoSpaceDE w:val="0"/>
      <w:autoSpaceDN w:val="0"/>
      <w:adjustRightInd w:val="0"/>
      <w:spacing w:before="0" w:beforeAutospacing="0" w:after="0" w:afterAutospacing="0"/>
      <w:ind w:left="0" w:right="0"/>
      <w:jc w:val="left"/>
    </w:pPr>
    <w:rPr>
      <w:rFonts w:hint="default" w:ascii="HDPCAM + MSung-Light" w:hAnsi="HDPCAM + MSung-Light" w:eastAsia="HDPCAM + MSung-Light" w:cs="HDPCAM + MSung-Light"/>
      <w:color w:val="000000"/>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1531</Words>
  <Characters>8280</Characters>
  <Lines>1</Lines>
  <Paragraphs>1</Paragraphs>
  <TotalTime>0</TotalTime>
  <ScaleCrop>false</ScaleCrop>
  <LinksUpToDate>false</LinksUpToDate>
  <CharactersWithSpaces>10023</CharactersWithSpaces>
  <Application>WPS Office WWO_base_provider_20221031101348-1857be321c</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2022-04-23T00:32:00Z</dcterms:created>
  <dc:creator>你的柚子呀</dc:creator>
  <cp:lastModifiedBy>万全～July</cp:lastModifiedBy>
  <cp:lastPrinted>2023-07-05T10:23:00Z</cp:lastPrinted>
  <dcterms:modified xsi:type="dcterms:W3CDTF">2023-07-07T13:32:10Z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2023-07-04T17:29:41Z</vt:filetime>
  </property>
  <property fmtid="{D5CDD505-2E9C-101B-9397-08002B2CF9AE}" pid="4" name="KSOProductBuildVer">
    <vt:lpwstr>2052-0.0.0.0</vt:lpwstr>
  </property>
  <property fmtid="{D5CDD505-2E9C-101B-9397-08002B2CF9AE}" pid="5" name="ICV">
    <vt:lpwstr>E00BA11CD98F4A4FA967F2367F4B50B5_13</vt:lpwstr>
  </property>
</Properties>
</file>