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5D66" w14:textId="6921CAED" w:rsidR="00B31355" w:rsidRPr="00AC01D1" w:rsidRDefault="00F412E7" w:rsidP="00F412E7">
      <w:pPr>
        <w:pStyle w:val="BodyText"/>
        <w:kinsoku w:val="0"/>
        <w:overflowPunct w:val="0"/>
        <w:rPr>
          <w:rFonts w:ascii="Times New Roman" w:cs="Times New Roman"/>
          <w:i/>
          <w:iCs/>
          <w:color w:val="231F20"/>
          <w:spacing w:val="-2"/>
          <w:sz w:val="24"/>
          <w:szCs w:val="24"/>
        </w:rPr>
      </w:pPr>
      <w:r w:rsidRPr="00AC01D1">
        <w:rPr>
          <w:rFonts w:ascii="Times New Roman" w:cs="Times New Roman"/>
          <w:i/>
          <w:iCs/>
          <w:color w:val="231F20"/>
          <w:spacing w:val="-2"/>
          <w:sz w:val="24"/>
          <w:szCs w:val="24"/>
        </w:rPr>
        <w:t>香港交易及結算所有限公司及香港聯合交易所有限公司對本公告的內容概不負責，對其準確性或完整性亦不發表任何聲明，並明確表示，概不就因本公告全部或任何部分內容而產生或因倚賴該等內容而引致的任何損失承擔任何責任。</w:t>
      </w:r>
    </w:p>
    <w:p w14:paraId="3E31C5E8" w14:textId="77777777" w:rsidR="00F412E7" w:rsidRDefault="00F412E7" w:rsidP="00F412E7">
      <w:pPr>
        <w:pStyle w:val="BodyText"/>
        <w:kinsoku w:val="0"/>
        <w:overflowPunct w:val="0"/>
        <w:rPr>
          <w:rFonts w:ascii="Times New Roman" w:cs="Times New Roman"/>
          <w:i/>
          <w:iCs/>
        </w:rPr>
      </w:pPr>
    </w:p>
    <w:p w14:paraId="390E74E3" w14:textId="77777777" w:rsidR="00F32272" w:rsidRPr="007213EC" w:rsidRDefault="00F32272" w:rsidP="00F412E7">
      <w:pPr>
        <w:pStyle w:val="BodyText"/>
        <w:kinsoku w:val="0"/>
        <w:overflowPunct w:val="0"/>
        <w:rPr>
          <w:rFonts w:ascii="Times New Roman" w:cs="Times New Roman"/>
          <w:i/>
          <w:iCs/>
        </w:rPr>
      </w:pPr>
    </w:p>
    <w:p w14:paraId="1682236F" w14:textId="76294BC9" w:rsidR="00B31355" w:rsidRPr="007213EC" w:rsidRDefault="00B31355" w:rsidP="00F412E7">
      <w:pPr>
        <w:pStyle w:val="Title"/>
        <w:kinsoku w:val="0"/>
        <w:overflowPunct w:val="0"/>
        <w:spacing w:before="207"/>
        <w:ind w:left="918"/>
        <w:rPr>
          <w:rFonts w:eastAsia="Yu Gothic"/>
          <w:color w:val="221E1F"/>
          <w:spacing w:val="-10"/>
        </w:rPr>
      </w:pPr>
      <w:r w:rsidRPr="007213EC">
        <w:rPr>
          <w:color w:val="221E1F"/>
          <w:spacing w:val="9"/>
        </w:rPr>
        <w:t>HATCHER</w:t>
      </w:r>
      <w:r w:rsidRPr="007213EC">
        <w:rPr>
          <w:color w:val="221E1F"/>
          <w:spacing w:val="76"/>
        </w:rPr>
        <w:t xml:space="preserve"> </w:t>
      </w:r>
      <w:r w:rsidRPr="007213EC">
        <w:rPr>
          <w:color w:val="221E1F"/>
        </w:rPr>
        <w:t>GROUP</w:t>
      </w:r>
      <w:r w:rsidRPr="007213EC">
        <w:rPr>
          <w:color w:val="221E1F"/>
          <w:spacing w:val="35"/>
          <w:w w:val="150"/>
        </w:rPr>
        <w:t xml:space="preserve"> </w:t>
      </w:r>
      <w:r w:rsidRPr="007213EC">
        <w:rPr>
          <w:color w:val="221E1F"/>
          <w:spacing w:val="9"/>
        </w:rPr>
        <w:t>LIMITED</w:t>
      </w:r>
      <w:r w:rsidR="00F412E7" w:rsidRPr="007213EC">
        <w:rPr>
          <w:color w:val="221E1F"/>
          <w:spacing w:val="9"/>
        </w:rPr>
        <w:br/>
      </w:r>
      <w:r w:rsidR="00C25CB5" w:rsidRPr="002A6879">
        <w:rPr>
          <w:rFonts w:asciiTheme="majorEastAsia" w:eastAsiaTheme="majorEastAsia" w:hAnsiTheme="majorEastAsia" w:hint="eastAsia"/>
          <w:color w:val="231F20"/>
          <w:spacing w:val="49"/>
        </w:rPr>
        <w:t>亦辰集團有限公司</w:t>
      </w:r>
      <w:r w:rsidRPr="007213EC">
        <w:rPr>
          <w:rFonts w:eastAsia="Yu Gothic"/>
          <w:color w:val="221E1F"/>
          <w:spacing w:val="-10"/>
        </w:rPr>
        <w:t>*</w:t>
      </w:r>
    </w:p>
    <w:p w14:paraId="19961E1C" w14:textId="77777777" w:rsidR="00B31355" w:rsidRPr="00683394" w:rsidRDefault="00B31355">
      <w:pPr>
        <w:pStyle w:val="BodyText"/>
        <w:kinsoku w:val="0"/>
        <w:overflowPunct w:val="0"/>
        <w:spacing w:line="278" w:lineRule="exact"/>
        <w:ind w:left="914" w:right="1382"/>
        <w:jc w:val="center"/>
        <w:rPr>
          <w:rFonts w:ascii="Times New Roman" w:cs="Times New Roman"/>
          <w:i/>
          <w:iCs/>
          <w:color w:val="221E1F"/>
          <w:spacing w:val="-10"/>
          <w:sz w:val="24"/>
          <w:szCs w:val="24"/>
        </w:rPr>
      </w:pPr>
      <w:r w:rsidRPr="00683394">
        <w:rPr>
          <w:rFonts w:ascii="Times New Roman" w:cs="Times New Roman"/>
          <w:i/>
          <w:iCs/>
          <w:color w:val="221E1F"/>
          <w:spacing w:val="23"/>
          <w:sz w:val="20"/>
          <w:szCs w:val="20"/>
        </w:rPr>
        <w:t>（於開曼群島註冊成立之有限公司</w:t>
      </w:r>
      <w:r w:rsidRPr="00683394">
        <w:rPr>
          <w:rFonts w:ascii="Times New Roman" w:cs="Times New Roman"/>
          <w:i/>
          <w:iCs/>
          <w:color w:val="221E1F"/>
          <w:spacing w:val="-10"/>
          <w:sz w:val="20"/>
          <w:szCs w:val="20"/>
        </w:rPr>
        <w:t>）</w:t>
      </w:r>
    </w:p>
    <w:p w14:paraId="2F0DE846" w14:textId="77777777" w:rsidR="00B31355" w:rsidRPr="007213EC" w:rsidRDefault="00B31355">
      <w:pPr>
        <w:pStyle w:val="BodyText"/>
        <w:kinsoku w:val="0"/>
        <w:overflowPunct w:val="0"/>
        <w:spacing w:line="319" w:lineRule="exact"/>
        <w:ind w:left="898" w:right="1382"/>
        <w:jc w:val="center"/>
        <w:rPr>
          <w:rFonts w:ascii="Times New Roman" w:cs="Times New Roman"/>
          <w:color w:val="221E1F"/>
          <w:spacing w:val="-14"/>
          <w:sz w:val="24"/>
          <w:szCs w:val="24"/>
        </w:rPr>
      </w:pPr>
      <w:r w:rsidRPr="007213EC">
        <w:rPr>
          <w:rFonts w:ascii="Times New Roman" w:cs="Times New Roman"/>
          <w:b/>
          <w:bCs/>
          <w:color w:val="221E1F"/>
          <w:spacing w:val="-15"/>
          <w:sz w:val="24"/>
          <w:szCs w:val="24"/>
        </w:rPr>
        <w:t>(</w:t>
      </w:r>
      <w:r w:rsidRPr="007213EC">
        <w:rPr>
          <w:rFonts w:ascii="Times New Roman" w:cs="Times New Roman"/>
          <w:b/>
          <w:bCs/>
          <w:color w:val="221E1F"/>
          <w:spacing w:val="-15"/>
          <w:sz w:val="24"/>
          <w:szCs w:val="24"/>
        </w:rPr>
        <w:t>股份代號</w:t>
      </w:r>
      <w:r w:rsidRPr="007213EC">
        <w:rPr>
          <w:rFonts w:ascii="Times New Roman" w:cs="Times New Roman"/>
          <w:b/>
          <w:bCs/>
          <w:color w:val="221E1F"/>
          <w:spacing w:val="-15"/>
          <w:sz w:val="24"/>
          <w:szCs w:val="24"/>
        </w:rPr>
        <w:t>:</w:t>
      </w:r>
      <w:r w:rsidRPr="007213EC">
        <w:rPr>
          <w:rFonts w:ascii="Times New Roman" w:cs="Times New Roman"/>
          <w:color w:val="221E1F"/>
          <w:spacing w:val="-15"/>
          <w:sz w:val="24"/>
          <w:szCs w:val="24"/>
        </w:rPr>
        <w:t xml:space="preserve"> </w:t>
      </w:r>
      <w:r w:rsidRPr="007213EC">
        <w:rPr>
          <w:rFonts w:ascii="Times New Roman" w:cs="Times New Roman"/>
          <w:b/>
          <w:bCs/>
          <w:color w:val="221E1F"/>
          <w:spacing w:val="-14"/>
          <w:sz w:val="24"/>
          <w:szCs w:val="24"/>
        </w:rPr>
        <w:t>8365</w:t>
      </w:r>
      <w:r w:rsidRPr="007213EC">
        <w:rPr>
          <w:rFonts w:ascii="Times New Roman" w:cs="Times New Roman"/>
          <w:color w:val="221E1F"/>
          <w:spacing w:val="-14"/>
          <w:sz w:val="24"/>
          <w:szCs w:val="24"/>
        </w:rPr>
        <w:t>)</w:t>
      </w:r>
    </w:p>
    <w:p w14:paraId="163D934D" w14:textId="77777777" w:rsidR="002C571F" w:rsidRPr="007213EC" w:rsidRDefault="002C571F" w:rsidP="001811B3">
      <w:pPr>
        <w:pStyle w:val="BodyText"/>
        <w:spacing w:line="295" w:lineRule="auto"/>
        <w:ind w:right="221"/>
        <w:rPr>
          <w:rFonts w:ascii="Times New Roman" w:eastAsiaTheme="minorEastAsia" w:cs="Times New Roman"/>
          <w:b/>
          <w:bCs/>
          <w:color w:val="231F20"/>
          <w:sz w:val="36"/>
          <w:szCs w:val="36"/>
        </w:rPr>
      </w:pPr>
    </w:p>
    <w:p w14:paraId="779740B3" w14:textId="5AA87243" w:rsidR="00683394" w:rsidRPr="0080655D" w:rsidRDefault="00683394" w:rsidP="0080655D">
      <w:pPr>
        <w:pStyle w:val="BodyText"/>
        <w:kinsoku w:val="0"/>
        <w:overflowPunct w:val="0"/>
        <w:spacing w:line="400" w:lineRule="exact"/>
        <w:ind w:right="367"/>
        <w:jc w:val="center"/>
        <w:rPr>
          <w:b/>
          <w:bCs/>
          <w:sz w:val="32"/>
          <w:szCs w:val="32"/>
        </w:rPr>
      </w:pPr>
      <w:r w:rsidRPr="0080655D">
        <w:rPr>
          <w:b/>
          <w:bCs/>
          <w:sz w:val="32"/>
          <w:szCs w:val="32"/>
        </w:rPr>
        <w:t>根據一般授權認購新股份</w:t>
      </w:r>
    </w:p>
    <w:p w14:paraId="327329A9" w14:textId="77777777" w:rsidR="00683394" w:rsidRPr="007213EC" w:rsidRDefault="00683394" w:rsidP="00CB45AC">
      <w:pPr>
        <w:pStyle w:val="BodyText"/>
        <w:kinsoku w:val="0"/>
        <w:overflowPunct w:val="0"/>
        <w:spacing w:line="400" w:lineRule="exact"/>
        <w:ind w:right="367"/>
        <w:jc w:val="center"/>
        <w:rPr>
          <w:rFonts w:ascii="Times New Roman" w:cs="Times New Roman"/>
          <w:b/>
          <w:bCs/>
          <w:color w:val="231F20"/>
          <w:spacing w:val="-3"/>
          <w:sz w:val="29"/>
          <w:szCs w:val="29"/>
        </w:rPr>
      </w:pPr>
    </w:p>
    <w:tbl>
      <w:tblPr>
        <w:tblStyle w:val="TableGrid"/>
        <w:tblW w:w="0" w:type="auto"/>
        <w:tblInd w:w="108" w:type="dxa"/>
        <w:tblLook w:val="04A0" w:firstRow="1" w:lastRow="0" w:firstColumn="1" w:lastColumn="0" w:noHBand="0" w:noVBand="1"/>
      </w:tblPr>
      <w:tblGrid>
        <w:gridCol w:w="10172"/>
      </w:tblGrid>
      <w:tr w:rsidR="00F412E7" w:rsidRPr="007213EC" w14:paraId="535917BD" w14:textId="77777777" w:rsidTr="003E21A0">
        <w:trPr>
          <w:trHeight w:val="1428"/>
        </w:trPr>
        <w:tc>
          <w:tcPr>
            <w:tcW w:w="10206" w:type="dxa"/>
          </w:tcPr>
          <w:p w14:paraId="49717D64" w14:textId="76855D23" w:rsidR="00421424" w:rsidRDefault="00421424" w:rsidP="00175BEB">
            <w:pPr>
              <w:pStyle w:val="Heading1"/>
              <w:spacing w:before="90"/>
              <w:rPr>
                <w:lang w:eastAsia="zh-TW"/>
              </w:rPr>
            </w:pPr>
            <w:r>
              <w:rPr>
                <w:lang w:eastAsia="zh-TW"/>
              </w:rPr>
              <w:t>根據一般授權認購新股份</w:t>
            </w:r>
          </w:p>
          <w:p w14:paraId="4C3713C9" w14:textId="77777777" w:rsidR="00C75518" w:rsidRPr="007213EC" w:rsidRDefault="00C75518" w:rsidP="00175BEB">
            <w:pPr>
              <w:pStyle w:val="Heading1"/>
              <w:spacing w:before="90"/>
              <w:rPr>
                <w:lang w:eastAsia="zh-TW"/>
              </w:rPr>
            </w:pPr>
          </w:p>
          <w:p w14:paraId="3FDC8EFB" w14:textId="0BCD2985" w:rsidR="00F412E7" w:rsidRDefault="00CB45AC" w:rsidP="00175BEB">
            <w:pPr>
              <w:pStyle w:val="BodyText"/>
              <w:spacing w:line="295" w:lineRule="auto"/>
              <w:ind w:left="179" w:right="221"/>
              <w:jc w:val="both"/>
              <w:rPr>
                <w:sz w:val="24"/>
                <w:szCs w:val="24"/>
              </w:rPr>
            </w:pPr>
            <w:r w:rsidRPr="007213EC">
              <w:rPr>
                <w:rFonts w:ascii="Times New Roman" w:cs="Times New Roman"/>
                <w:color w:val="231F20"/>
                <w:sz w:val="24"/>
                <w:szCs w:val="24"/>
              </w:rPr>
              <w:t>於</w:t>
            </w:r>
            <w:r w:rsidR="00C879DF">
              <w:rPr>
                <w:rFonts w:ascii="Times New Roman" w:cs="Times New Roman" w:hint="eastAsia"/>
                <w:color w:val="231F20"/>
                <w:sz w:val="24"/>
                <w:szCs w:val="24"/>
              </w:rPr>
              <w:t xml:space="preserve"> 2</w:t>
            </w:r>
            <w:r w:rsidR="00C879DF">
              <w:rPr>
                <w:rFonts w:ascii="Times New Roman" w:cs="Times New Roman"/>
                <w:color w:val="231F20"/>
                <w:sz w:val="24"/>
                <w:szCs w:val="24"/>
              </w:rPr>
              <w:t xml:space="preserve">024 </w:t>
            </w:r>
            <w:r w:rsidRPr="007213EC">
              <w:rPr>
                <w:rFonts w:ascii="Times New Roman" w:cs="Times New Roman"/>
                <w:color w:val="231F20"/>
                <w:sz w:val="24"/>
                <w:szCs w:val="24"/>
              </w:rPr>
              <w:t>年</w:t>
            </w:r>
            <w:r w:rsidR="00C879DF">
              <w:rPr>
                <w:rFonts w:ascii="Times New Roman" w:cs="Times New Roman" w:hint="eastAsia"/>
                <w:color w:val="231F20"/>
                <w:sz w:val="24"/>
                <w:szCs w:val="24"/>
              </w:rPr>
              <w:t xml:space="preserve"> 2</w:t>
            </w:r>
            <w:r w:rsidR="00C879DF">
              <w:rPr>
                <w:rFonts w:ascii="Times New Roman" w:cs="Times New Roman"/>
                <w:color w:val="231F20"/>
                <w:sz w:val="24"/>
                <w:szCs w:val="24"/>
              </w:rPr>
              <w:t xml:space="preserve"> </w:t>
            </w:r>
            <w:r w:rsidRPr="007213EC">
              <w:rPr>
                <w:rFonts w:ascii="Times New Roman" w:cs="Times New Roman"/>
                <w:color w:val="231F20"/>
                <w:sz w:val="24"/>
                <w:szCs w:val="24"/>
              </w:rPr>
              <w:t>月</w:t>
            </w:r>
            <w:r w:rsidR="00C879DF">
              <w:rPr>
                <w:rFonts w:ascii="Times New Roman" w:cs="Times New Roman" w:hint="eastAsia"/>
                <w:color w:val="231F20"/>
                <w:sz w:val="24"/>
                <w:szCs w:val="24"/>
              </w:rPr>
              <w:t xml:space="preserve"> </w:t>
            </w:r>
            <w:r w:rsidR="00C879DF">
              <w:rPr>
                <w:rFonts w:ascii="Times New Roman" w:cs="Times New Roman"/>
                <w:color w:val="231F20"/>
                <w:sz w:val="24"/>
                <w:szCs w:val="24"/>
              </w:rPr>
              <w:t xml:space="preserve">23 </w:t>
            </w:r>
            <w:r w:rsidRPr="007213EC">
              <w:rPr>
                <w:rFonts w:ascii="Times New Roman" w:cs="Times New Roman"/>
                <w:color w:val="231F20"/>
                <w:sz w:val="24"/>
                <w:szCs w:val="24"/>
              </w:rPr>
              <w:t>日</w:t>
            </w:r>
            <w:r w:rsidR="00EF293E" w:rsidRPr="00EF293E">
              <w:rPr>
                <w:rFonts w:ascii="Times New Roman" w:cs="Times New Roman"/>
                <w:color w:val="231F20"/>
                <w:sz w:val="24"/>
                <w:szCs w:val="24"/>
              </w:rPr>
              <w:t>（</w:t>
            </w:r>
            <w:r w:rsidR="00A33344" w:rsidRPr="003841C3">
              <w:rPr>
                <w:rFonts w:ascii="Times New Roman" w:eastAsiaTheme="minorEastAsia" w:cs="Times New Roman"/>
                <w:sz w:val="24"/>
                <w:szCs w:val="24"/>
              </w:rPr>
              <w:t>聯交所</w:t>
            </w:r>
            <w:r w:rsidR="00EF293E" w:rsidRPr="00EF293E">
              <w:rPr>
                <w:rFonts w:ascii="Times New Roman" w:cs="Times New Roman"/>
                <w:color w:val="231F20"/>
                <w:sz w:val="24"/>
                <w:szCs w:val="24"/>
              </w:rPr>
              <w:t>交易時段後</w:t>
            </w:r>
            <w:r w:rsidR="00EF293E" w:rsidRPr="00EF293E">
              <w:rPr>
                <w:rFonts w:ascii="Times New Roman" w:cs="Times New Roman" w:hint="eastAsia"/>
                <w:color w:val="231F20"/>
                <w:sz w:val="24"/>
                <w:szCs w:val="24"/>
              </w:rPr>
              <w:t>）</w:t>
            </w:r>
            <w:r w:rsidRPr="007213EC">
              <w:rPr>
                <w:rFonts w:ascii="Times New Roman" w:cs="Times New Roman"/>
                <w:color w:val="231F20"/>
                <w:sz w:val="24"/>
                <w:szCs w:val="24"/>
              </w:rPr>
              <w:t>，</w:t>
            </w:r>
            <w:r w:rsidR="00861721" w:rsidRPr="00861721">
              <w:rPr>
                <w:sz w:val="24"/>
                <w:szCs w:val="24"/>
              </w:rPr>
              <w:t xml:space="preserve">本公司與認購人訂立認購協議，據此，認購人 已有條件同意認購而本公司已有條件同意配發及發行合共 </w:t>
            </w:r>
            <w:r w:rsidR="00012C65">
              <w:rPr>
                <w:sz w:val="24"/>
                <w:szCs w:val="24"/>
              </w:rPr>
              <w:t>7,136,000</w:t>
            </w:r>
            <w:r w:rsidR="00861721" w:rsidRPr="00861721">
              <w:rPr>
                <w:sz w:val="24"/>
                <w:szCs w:val="24"/>
              </w:rPr>
              <w:t xml:space="preserve"> 股新股份，認購價為每股認購股份 </w:t>
            </w:r>
            <w:r w:rsidR="0028675E">
              <w:rPr>
                <w:sz w:val="24"/>
                <w:szCs w:val="24"/>
              </w:rPr>
              <w:t>1.40</w:t>
            </w:r>
            <w:r w:rsidR="00861721" w:rsidRPr="00861721">
              <w:rPr>
                <w:sz w:val="24"/>
                <w:szCs w:val="24"/>
              </w:rPr>
              <w:t xml:space="preserve"> 港元。認購事項須待本公告「認購事項之條件」一段所載條件達成後，方可作實。</w:t>
            </w:r>
          </w:p>
          <w:p w14:paraId="7C0B87CB" w14:textId="77777777" w:rsidR="001F44A0" w:rsidRPr="00861721" w:rsidRDefault="001F44A0" w:rsidP="00175BEB">
            <w:pPr>
              <w:pStyle w:val="BodyText"/>
              <w:spacing w:line="295" w:lineRule="auto"/>
              <w:ind w:left="179" w:right="221"/>
              <w:jc w:val="both"/>
              <w:rPr>
                <w:rFonts w:ascii="Times New Roman" w:cs="Times New Roman"/>
                <w:color w:val="231F20"/>
                <w:sz w:val="22"/>
                <w:szCs w:val="22"/>
              </w:rPr>
            </w:pPr>
          </w:p>
          <w:p w14:paraId="0B66047C" w14:textId="29FB91A8" w:rsidR="00C654BF" w:rsidRPr="001F44A0" w:rsidRDefault="001F44A0" w:rsidP="00BD061B">
            <w:pPr>
              <w:pStyle w:val="Heading1"/>
              <w:spacing w:before="90"/>
              <w:rPr>
                <w:rFonts w:ascii="PMingLiU" w:eastAsia="PMingLiU" w:cs="PMingLiU"/>
                <w:b w:val="0"/>
                <w:bCs w:val="0"/>
                <w:lang w:eastAsia="zh-TW"/>
              </w:rPr>
            </w:pPr>
            <w:r w:rsidRPr="001F44A0">
              <w:rPr>
                <w:rFonts w:ascii="PMingLiU" w:eastAsia="PMingLiU" w:cs="PMingLiU"/>
                <w:b w:val="0"/>
                <w:bCs w:val="0"/>
                <w:lang w:eastAsia="zh-TW"/>
              </w:rPr>
              <w:t>認購股份相當於</w:t>
            </w:r>
            <w:r w:rsidR="0086623D">
              <w:rPr>
                <w:rFonts w:ascii="PMingLiU" w:eastAsia="PMingLiU" w:cs="PMingLiU" w:hint="eastAsia"/>
                <w:b w:val="0"/>
                <w:bCs w:val="0"/>
                <w:lang w:eastAsia="zh-TW"/>
              </w:rPr>
              <w:t xml:space="preserve"> </w:t>
            </w:r>
            <w:r w:rsidRPr="001F44A0">
              <w:rPr>
                <w:rFonts w:ascii="PMingLiU" w:eastAsia="PMingLiU" w:cs="PMingLiU"/>
                <w:b w:val="0"/>
                <w:bCs w:val="0"/>
                <w:lang w:eastAsia="zh-TW"/>
              </w:rPr>
              <w:t>(i)</w:t>
            </w:r>
            <w:r w:rsidR="0086623D">
              <w:rPr>
                <w:rFonts w:ascii="PMingLiU" w:eastAsia="PMingLiU" w:cs="PMingLiU"/>
                <w:b w:val="0"/>
                <w:bCs w:val="0"/>
                <w:lang w:eastAsia="zh-TW"/>
              </w:rPr>
              <w:t xml:space="preserve"> </w:t>
            </w:r>
            <w:r w:rsidRPr="001F44A0">
              <w:rPr>
                <w:rFonts w:ascii="PMingLiU" w:eastAsia="PMingLiU" w:cs="PMingLiU"/>
                <w:b w:val="0"/>
                <w:bCs w:val="0"/>
                <w:lang w:eastAsia="zh-TW"/>
              </w:rPr>
              <w:t xml:space="preserve">本公司於本公告日期的已發行股本約 </w:t>
            </w:r>
            <w:r>
              <w:rPr>
                <w:rFonts w:ascii="PMingLiU" w:eastAsia="PMingLiU" w:cs="PMingLiU"/>
                <w:b w:val="0"/>
                <w:bCs w:val="0"/>
                <w:lang w:eastAsia="zh-TW"/>
              </w:rPr>
              <w:t>20.0</w:t>
            </w:r>
            <w:r w:rsidRPr="001F44A0">
              <w:rPr>
                <w:rFonts w:ascii="PMingLiU" w:eastAsia="PMingLiU" w:cs="PMingLiU"/>
                <w:b w:val="0"/>
                <w:bCs w:val="0"/>
                <w:lang w:eastAsia="zh-TW"/>
              </w:rPr>
              <w:t xml:space="preserve">%；及(ii) 緊接認購事項完成後經配發及發行認購股份而擴大的本公司已發行股本（假設除發行認購股份外， 自本公告日期起至完成日期，本公司已發行股份總數並無變動）約 </w:t>
            </w:r>
            <w:r w:rsidR="00674A7A">
              <w:rPr>
                <w:rFonts w:ascii="PMingLiU" w:eastAsia="PMingLiU" w:cs="PMingLiU"/>
                <w:b w:val="0"/>
                <w:bCs w:val="0"/>
                <w:lang w:eastAsia="zh-TW"/>
              </w:rPr>
              <w:t>16.7</w:t>
            </w:r>
            <w:r w:rsidRPr="001F44A0">
              <w:rPr>
                <w:rFonts w:ascii="PMingLiU" w:eastAsia="PMingLiU" w:cs="PMingLiU"/>
                <w:b w:val="0"/>
                <w:bCs w:val="0"/>
                <w:lang w:eastAsia="zh-TW"/>
              </w:rPr>
              <w:t xml:space="preserve">%。認購股份的總面值將為 </w:t>
            </w:r>
            <w:r w:rsidR="00661998">
              <w:rPr>
                <w:rFonts w:ascii="PMingLiU" w:eastAsia="PMingLiU" w:cs="PMingLiU"/>
                <w:b w:val="0"/>
                <w:bCs w:val="0"/>
                <w:lang w:eastAsia="zh-TW"/>
              </w:rPr>
              <w:t>1,784,000</w:t>
            </w:r>
            <w:r w:rsidRPr="001F44A0">
              <w:rPr>
                <w:rFonts w:ascii="PMingLiU" w:eastAsia="PMingLiU" w:cs="PMingLiU"/>
                <w:b w:val="0"/>
                <w:bCs w:val="0"/>
                <w:lang w:eastAsia="zh-TW"/>
              </w:rPr>
              <w:t xml:space="preserve"> 港元。</w:t>
            </w:r>
          </w:p>
          <w:p w14:paraId="4189365A" w14:textId="77777777" w:rsidR="001F44A0" w:rsidRPr="007213EC" w:rsidRDefault="001F44A0" w:rsidP="00BD061B">
            <w:pPr>
              <w:pStyle w:val="Heading1"/>
              <w:spacing w:before="90"/>
              <w:rPr>
                <w:rFonts w:eastAsia="PMingLiU"/>
                <w:lang w:eastAsia="zh-TW"/>
              </w:rPr>
            </w:pPr>
          </w:p>
          <w:p w14:paraId="1CA71821" w14:textId="2877BC36" w:rsidR="00421424" w:rsidRDefault="00627383" w:rsidP="00F41546">
            <w:pPr>
              <w:pStyle w:val="Heading1"/>
              <w:spacing w:before="90"/>
              <w:rPr>
                <w:rFonts w:ascii="PMingLiU" w:eastAsia="PMingLiU" w:cs="PMingLiU"/>
                <w:b w:val="0"/>
                <w:bCs w:val="0"/>
                <w:lang w:eastAsia="zh-TW"/>
              </w:rPr>
            </w:pPr>
            <w:r w:rsidRPr="0086623D">
              <w:rPr>
                <w:rFonts w:ascii="PMingLiU" w:eastAsia="PMingLiU" w:cs="PMingLiU"/>
                <w:b w:val="0"/>
                <w:bCs w:val="0"/>
                <w:lang w:eastAsia="zh-TW"/>
              </w:rPr>
              <w:t>認購價每股認購股份</w:t>
            </w:r>
            <w:r w:rsidR="0086623D" w:rsidRPr="0086623D">
              <w:rPr>
                <w:rFonts w:ascii="PMingLiU" w:eastAsia="PMingLiU" w:cs="PMingLiU" w:hint="eastAsia"/>
                <w:b w:val="0"/>
                <w:bCs w:val="0"/>
                <w:lang w:eastAsia="zh-TW"/>
              </w:rPr>
              <w:t xml:space="preserve"> </w:t>
            </w:r>
            <w:r w:rsidRPr="0086623D">
              <w:rPr>
                <w:rFonts w:ascii="PMingLiU" w:eastAsia="PMingLiU" w:cs="PMingLiU"/>
                <w:b w:val="0"/>
                <w:bCs w:val="0"/>
                <w:lang w:eastAsia="zh-TW"/>
              </w:rPr>
              <w:t>1.40</w:t>
            </w:r>
            <w:r w:rsidR="0086623D" w:rsidRPr="0086623D">
              <w:rPr>
                <w:rFonts w:ascii="PMingLiU" w:eastAsia="PMingLiU" w:cs="PMingLiU"/>
                <w:b w:val="0"/>
                <w:bCs w:val="0"/>
                <w:lang w:eastAsia="zh-TW"/>
              </w:rPr>
              <w:t xml:space="preserve"> </w:t>
            </w:r>
            <w:r w:rsidRPr="0086623D">
              <w:rPr>
                <w:rFonts w:ascii="PMingLiU" w:eastAsia="PMingLiU" w:cs="PMingLiU"/>
                <w:b w:val="0"/>
                <w:bCs w:val="0"/>
                <w:lang w:eastAsia="zh-TW"/>
              </w:rPr>
              <w:t>港元較 (a) 股份於認購協議</w:t>
            </w:r>
            <w:r w:rsidR="002505DD" w:rsidRPr="0086623D">
              <w:rPr>
                <w:rFonts w:ascii="PMingLiU" w:eastAsia="PMingLiU" w:cs="PMingLiU"/>
                <w:b w:val="0"/>
                <w:bCs w:val="0"/>
                <w:lang w:eastAsia="zh-TW"/>
              </w:rPr>
              <w:t>日期</w:t>
            </w:r>
            <w:r w:rsidRPr="0086623D">
              <w:rPr>
                <w:rFonts w:ascii="PMingLiU" w:eastAsia="PMingLiU" w:cs="PMingLiU"/>
                <w:b w:val="0"/>
                <w:bCs w:val="0"/>
                <w:lang w:eastAsia="zh-TW"/>
              </w:rPr>
              <w:t xml:space="preserve">在聯交所所報收市價每股 </w:t>
            </w:r>
            <w:r w:rsidR="00525F95">
              <w:rPr>
                <w:rFonts w:ascii="PMingLiU" w:eastAsia="PMingLiU" w:cs="PMingLiU"/>
                <w:b w:val="0"/>
                <w:bCs w:val="0"/>
                <w:lang w:eastAsia="zh-TW"/>
              </w:rPr>
              <w:t>0.95</w:t>
            </w:r>
            <w:r w:rsidRPr="0086623D">
              <w:rPr>
                <w:rFonts w:ascii="PMingLiU" w:eastAsia="PMingLiU" w:cs="PMingLiU"/>
                <w:b w:val="0"/>
                <w:bCs w:val="0"/>
                <w:lang w:eastAsia="zh-TW"/>
              </w:rPr>
              <w:t xml:space="preserve"> 港元</w:t>
            </w:r>
            <w:r w:rsidR="00494279" w:rsidRPr="004D3058">
              <w:rPr>
                <w:b w:val="0"/>
                <w:bCs w:val="0"/>
                <w:lang w:eastAsia="zh-TW"/>
              </w:rPr>
              <w:t>溢</w:t>
            </w:r>
            <w:r w:rsidR="00494279" w:rsidRPr="004D3058">
              <w:rPr>
                <w:rFonts w:ascii="PMingLiU" w:eastAsia="PMingLiU" w:hAnsi="PMingLiU" w:cs="PMingLiU" w:hint="eastAsia"/>
                <w:b w:val="0"/>
                <w:bCs w:val="0"/>
                <w:lang w:eastAsia="zh-TW"/>
              </w:rPr>
              <w:t>價</w:t>
            </w:r>
            <w:r w:rsidRPr="0086623D">
              <w:rPr>
                <w:rFonts w:ascii="PMingLiU" w:eastAsia="PMingLiU" w:cs="PMingLiU"/>
                <w:b w:val="0"/>
                <w:bCs w:val="0"/>
                <w:lang w:eastAsia="zh-TW"/>
              </w:rPr>
              <w:t xml:space="preserve">約 </w:t>
            </w:r>
            <w:r w:rsidR="00525F95">
              <w:rPr>
                <w:rFonts w:ascii="PMingLiU" w:eastAsia="PMingLiU" w:cs="PMingLiU"/>
                <w:b w:val="0"/>
                <w:bCs w:val="0"/>
                <w:lang w:eastAsia="zh-TW"/>
              </w:rPr>
              <w:t>47.4</w:t>
            </w:r>
            <w:r w:rsidR="004D3058">
              <w:rPr>
                <w:rFonts w:ascii="PMingLiU" w:eastAsia="PMingLiU" w:cs="PMingLiU"/>
                <w:b w:val="0"/>
                <w:bCs w:val="0"/>
                <w:lang w:eastAsia="zh-TW"/>
              </w:rPr>
              <w:t>%</w:t>
            </w:r>
            <w:r w:rsidRPr="0086623D">
              <w:rPr>
                <w:rFonts w:ascii="PMingLiU" w:eastAsia="PMingLiU" w:cs="PMingLiU"/>
                <w:b w:val="0"/>
                <w:bCs w:val="0"/>
                <w:lang w:eastAsia="zh-TW"/>
              </w:rPr>
              <w:t xml:space="preserve">；及 (b) 股份緊接認購協議日期前最後連續五個交易日在聯交所所報之平均收市價每股 </w:t>
            </w:r>
            <w:r w:rsidR="001D2942">
              <w:rPr>
                <w:rFonts w:ascii="PMingLiU" w:eastAsia="PMingLiU" w:cs="PMingLiU"/>
                <w:b w:val="0"/>
                <w:bCs w:val="0"/>
                <w:lang w:eastAsia="zh-TW"/>
              </w:rPr>
              <w:t>1.03</w:t>
            </w:r>
            <w:r w:rsidRPr="0086623D">
              <w:rPr>
                <w:rFonts w:ascii="PMingLiU" w:eastAsia="PMingLiU" w:cs="PMingLiU"/>
                <w:b w:val="0"/>
                <w:bCs w:val="0"/>
                <w:lang w:eastAsia="zh-TW"/>
              </w:rPr>
              <w:t xml:space="preserve"> 港元</w:t>
            </w:r>
            <w:r w:rsidR="00F2376C" w:rsidRPr="004D3058">
              <w:rPr>
                <w:b w:val="0"/>
                <w:bCs w:val="0"/>
                <w:lang w:eastAsia="zh-TW"/>
              </w:rPr>
              <w:t>溢</w:t>
            </w:r>
            <w:r w:rsidR="00F2376C" w:rsidRPr="004D3058">
              <w:rPr>
                <w:rFonts w:ascii="PMingLiU" w:eastAsia="PMingLiU" w:hAnsi="PMingLiU" w:cs="PMingLiU" w:hint="eastAsia"/>
                <w:b w:val="0"/>
                <w:bCs w:val="0"/>
                <w:lang w:eastAsia="zh-TW"/>
              </w:rPr>
              <w:t>價</w:t>
            </w:r>
            <w:r w:rsidRPr="0086623D">
              <w:rPr>
                <w:rFonts w:ascii="PMingLiU" w:eastAsia="PMingLiU" w:cs="PMingLiU"/>
                <w:b w:val="0"/>
                <w:bCs w:val="0"/>
                <w:lang w:eastAsia="zh-TW"/>
              </w:rPr>
              <w:t xml:space="preserve">約 </w:t>
            </w:r>
            <w:r w:rsidR="004D3058">
              <w:rPr>
                <w:rFonts w:ascii="PMingLiU" w:eastAsia="PMingLiU" w:cs="PMingLiU"/>
                <w:b w:val="0"/>
                <w:bCs w:val="0"/>
                <w:lang w:eastAsia="zh-TW"/>
              </w:rPr>
              <w:t>35.9</w:t>
            </w:r>
            <w:r w:rsidRPr="0086623D">
              <w:rPr>
                <w:rFonts w:ascii="PMingLiU" w:eastAsia="PMingLiU" w:cs="PMingLiU"/>
                <w:b w:val="0"/>
                <w:bCs w:val="0"/>
                <w:lang w:eastAsia="zh-TW"/>
              </w:rPr>
              <w:t xml:space="preserve">%。 </w:t>
            </w:r>
          </w:p>
          <w:p w14:paraId="0F48652E" w14:textId="77777777" w:rsidR="00605AD7" w:rsidRDefault="00605AD7" w:rsidP="00F41546">
            <w:pPr>
              <w:pStyle w:val="Heading1"/>
              <w:spacing w:before="90"/>
              <w:rPr>
                <w:rFonts w:ascii="PMingLiU" w:eastAsia="PMingLiU" w:cs="PMingLiU"/>
                <w:b w:val="0"/>
                <w:bCs w:val="0"/>
                <w:lang w:eastAsia="zh-TW"/>
              </w:rPr>
            </w:pPr>
          </w:p>
          <w:p w14:paraId="289A778F" w14:textId="3D188B81" w:rsidR="00605AD7" w:rsidRDefault="00605AD7" w:rsidP="00F41546">
            <w:pPr>
              <w:pStyle w:val="Heading1"/>
              <w:spacing w:before="90"/>
              <w:rPr>
                <w:b w:val="0"/>
                <w:bCs w:val="0"/>
                <w:lang w:eastAsia="zh-TW"/>
              </w:rPr>
            </w:pPr>
            <w:r w:rsidRPr="00605AD7">
              <w:rPr>
                <w:b w:val="0"/>
                <w:bCs w:val="0"/>
                <w:lang w:eastAsia="zh-TW"/>
              </w:rPr>
              <w:t>認購股份將根據一般授權獲配發及發行。</w:t>
            </w:r>
          </w:p>
          <w:p w14:paraId="30F8C733" w14:textId="77777777" w:rsidR="00605AD7" w:rsidRDefault="00605AD7" w:rsidP="00F41546">
            <w:pPr>
              <w:pStyle w:val="Heading1"/>
              <w:spacing w:before="90"/>
              <w:rPr>
                <w:b w:val="0"/>
                <w:bCs w:val="0"/>
                <w:lang w:eastAsia="zh-TW"/>
              </w:rPr>
            </w:pPr>
          </w:p>
          <w:p w14:paraId="10E7EAB3" w14:textId="07B93F3B" w:rsidR="00605AD7" w:rsidRPr="00605AD7" w:rsidRDefault="00605AD7" w:rsidP="00F41546">
            <w:pPr>
              <w:pStyle w:val="Heading1"/>
              <w:spacing w:before="90"/>
              <w:rPr>
                <w:rFonts w:ascii="PMingLiU" w:eastAsia="PMingLiU" w:cs="PMingLiU"/>
                <w:b w:val="0"/>
                <w:bCs w:val="0"/>
                <w:lang w:eastAsia="zh-TW"/>
              </w:rPr>
            </w:pPr>
            <w:r w:rsidRPr="00605AD7">
              <w:rPr>
                <w:b w:val="0"/>
                <w:bCs w:val="0"/>
                <w:lang w:eastAsia="zh-TW"/>
              </w:rPr>
              <w:t>認購事項所得款項將為</w:t>
            </w:r>
            <w:r w:rsidRPr="00605AD7">
              <w:rPr>
                <w:b w:val="0"/>
                <w:bCs w:val="0"/>
                <w:lang w:eastAsia="zh-TW"/>
              </w:rPr>
              <w:t xml:space="preserve"> </w:t>
            </w:r>
            <w:r>
              <w:rPr>
                <w:b w:val="0"/>
                <w:bCs w:val="0"/>
                <w:lang w:eastAsia="zh-TW"/>
              </w:rPr>
              <w:t>9,990,400</w:t>
            </w:r>
            <w:r w:rsidRPr="00605AD7">
              <w:rPr>
                <w:b w:val="0"/>
                <w:bCs w:val="0"/>
                <w:lang w:eastAsia="zh-TW"/>
              </w:rPr>
              <w:t xml:space="preserve"> </w:t>
            </w:r>
            <w:r w:rsidRPr="00605AD7">
              <w:rPr>
                <w:b w:val="0"/>
                <w:bCs w:val="0"/>
                <w:lang w:eastAsia="zh-TW"/>
              </w:rPr>
              <w:t>港元。本公司擬將認購事項所得款項作為本集團之一般營運資金。</w:t>
            </w:r>
          </w:p>
          <w:p w14:paraId="53488BE4" w14:textId="77777777" w:rsidR="00627383" w:rsidRDefault="00627383" w:rsidP="00F41546">
            <w:pPr>
              <w:pStyle w:val="Heading1"/>
              <w:spacing w:before="90"/>
              <w:rPr>
                <w:lang w:eastAsia="zh-TW"/>
              </w:rPr>
            </w:pPr>
          </w:p>
          <w:p w14:paraId="55D6212D" w14:textId="0B549F33" w:rsidR="00627383" w:rsidRDefault="0072498D" w:rsidP="00F41546">
            <w:pPr>
              <w:pStyle w:val="Heading1"/>
              <w:spacing w:before="90"/>
              <w:rPr>
                <w:rFonts w:eastAsia="PMingLiU"/>
                <w:b w:val="0"/>
                <w:bCs w:val="0"/>
                <w:lang w:eastAsia="zh-TW"/>
              </w:rPr>
            </w:pPr>
            <w:r>
              <w:rPr>
                <w:lang w:eastAsia="zh-TW"/>
              </w:rPr>
              <w:t>認購事項之完成須待認購協議項下之條件達成後，方可作實。由於認購事項可能會或</w:t>
            </w:r>
            <w:r>
              <w:rPr>
                <w:lang w:eastAsia="zh-TW"/>
              </w:rPr>
              <w:t xml:space="preserve"> </w:t>
            </w:r>
            <w:r>
              <w:rPr>
                <w:lang w:eastAsia="zh-TW"/>
              </w:rPr>
              <w:t>可能不會進行，故股東及有意投資者於買賣股份時務請審慎行事</w:t>
            </w:r>
            <w:r>
              <w:rPr>
                <w:rFonts w:ascii="PMingLiU" w:eastAsia="PMingLiU" w:hAnsi="PMingLiU" w:cs="PMingLiU" w:hint="eastAsia"/>
                <w:lang w:eastAsia="zh-TW"/>
              </w:rPr>
              <w:t>。</w:t>
            </w:r>
          </w:p>
          <w:p w14:paraId="74E01CDD" w14:textId="77777777" w:rsidR="0072498D" w:rsidRDefault="0072498D" w:rsidP="00F41546">
            <w:pPr>
              <w:pStyle w:val="Heading1"/>
              <w:spacing w:before="90"/>
              <w:rPr>
                <w:rFonts w:eastAsia="PMingLiU"/>
                <w:b w:val="0"/>
                <w:bCs w:val="0"/>
                <w:lang w:eastAsia="zh-TW"/>
              </w:rPr>
            </w:pPr>
          </w:p>
          <w:p w14:paraId="703F9C39" w14:textId="282CCBAC" w:rsidR="0072498D" w:rsidRPr="007213EC" w:rsidRDefault="0072498D" w:rsidP="00F41546">
            <w:pPr>
              <w:pStyle w:val="Heading1"/>
              <w:spacing w:before="90"/>
              <w:rPr>
                <w:rFonts w:eastAsia="PMingLiU"/>
                <w:b w:val="0"/>
                <w:bCs w:val="0"/>
                <w:lang w:eastAsia="zh-TW"/>
              </w:rPr>
            </w:pPr>
          </w:p>
        </w:tc>
      </w:tr>
    </w:tbl>
    <w:p w14:paraId="2734D4F3" w14:textId="30DA46B2" w:rsidR="000263B0" w:rsidRDefault="000263B0" w:rsidP="00F412E7">
      <w:pPr>
        <w:spacing w:line="295" w:lineRule="auto"/>
        <w:jc w:val="both"/>
        <w:rPr>
          <w:rFonts w:ascii="Times New Roman" w:cs="Times New Roman"/>
          <w:sz w:val="24"/>
          <w:szCs w:val="24"/>
        </w:rPr>
      </w:pPr>
    </w:p>
    <w:p w14:paraId="5DD11057" w14:textId="77777777" w:rsidR="00932475" w:rsidRDefault="00932475" w:rsidP="00F412E7">
      <w:pPr>
        <w:spacing w:line="295" w:lineRule="auto"/>
        <w:jc w:val="both"/>
        <w:rPr>
          <w:rFonts w:ascii="Times New Roman" w:cs="Times New Roman"/>
          <w:sz w:val="24"/>
          <w:szCs w:val="24"/>
        </w:rPr>
      </w:pPr>
    </w:p>
    <w:p w14:paraId="39912B05" w14:textId="77777777" w:rsidR="00F32272" w:rsidRDefault="00F32272" w:rsidP="00F412E7">
      <w:pPr>
        <w:spacing w:line="295" w:lineRule="auto"/>
        <w:jc w:val="both"/>
        <w:rPr>
          <w:rFonts w:ascii="Times New Roman" w:cs="Times New Roman"/>
          <w:sz w:val="24"/>
          <w:szCs w:val="24"/>
        </w:rPr>
      </w:pPr>
    </w:p>
    <w:p w14:paraId="3FA551A2" w14:textId="77777777" w:rsidR="00932475" w:rsidRPr="007213EC" w:rsidRDefault="00932475" w:rsidP="00F412E7">
      <w:pPr>
        <w:spacing w:line="295" w:lineRule="auto"/>
        <w:jc w:val="both"/>
        <w:rPr>
          <w:rFonts w:ascii="Times New Roman" w:cs="Times New Roman"/>
          <w:sz w:val="24"/>
          <w:szCs w:val="24"/>
        </w:rPr>
      </w:pPr>
    </w:p>
    <w:p w14:paraId="1625ED8D" w14:textId="77777777" w:rsidR="006F30EC" w:rsidRDefault="006F30EC" w:rsidP="00F40A28">
      <w:pPr>
        <w:pStyle w:val="Heading1"/>
        <w:spacing w:before="90"/>
        <w:rPr>
          <w:lang w:eastAsia="zh-TW"/>
        </w:rPr>
      </w:pPr>
      <w:r>
        <w:rPr>
          <w:rFonts w:hint="eastAsia"/>
          <w:lang w:eastAsia="zh-TW"/>
        </w:rPr>
        <w:lastRenderedPageBreak/>
        <w:t xml:space="preserve"> </w:t>
      </w:r>
      <w:r>
        <w:rPr>
          <w:lang w:eastAsia="zh-TW"/>
        </w:rPr>
        <w:t xml:space="preserve"> </w:t>
      </w:r>
    </w:p>
    <w:p w14:paraId="208AAD3C" w14:textId="34338BFC" w:rsidR="00F40A28" w:rsidRDefault="006F30EC" w:rsidP="00F40A28">
      <w:pPr>
        <w:pStyle w:val="Heading1"/>
        <w:spacing w:before="90"/>
        <w:rPr>
          <w:lang w:eastAsia="zh-TW"/>
        </w:rPr>
      </w:pPr>
      <w:r>
        <w:rPr>
          <w:lang w:eastAsia="zh-TW"/>
        </w:rPr>
        <w:t xml:space="preserve">  </w:t>
      </w:r>
      <w:r w:rsidR="00F40A28">
        <w:rPr>
          <w:lang w:eastAsia="zh-TW"/>
        </w:rPr>
        <w:t>根據一般授權認購新股份</w:t>
      </w:r>
    </w:p>
    <w:p w14:paraId="2CE1E534" w14:textId="77777777" w:rsidR="00F40A28" w:rsidRDefault="00F40A28" w:rsidP="00F40A28">
      <w:pPr>
        <w:pStyle w:val="Heading1"/>
        <w:spacing w:before="90"/>
        <w:rPr>
          <w:lang w:eastAsia="zh-TW"/>
        </w:rPr>
      </w:pPr>
    </w:p>
    <w:p w14:paraId="07ED3E3E" w14:textId="69EF4081" w:rsidR="007213EC" w:rsidRDefault="00F40A28" w:rsidP="000263B0">
      <w:pPr>
        <w:spacing w:line="295" w:lineRule="auto"/>
        <w:ind w:left="284"/>
        <w:jc w:val="both"/>
        <w:rPr>
          <w:rFonts w:ascii="Times New Roman" w:eastAsiaTheme="minorEastAsia" w:cs="Times New Roman"/>
          <w:sz w:val="24"/>
          <w:szCs w:val="24"/>
        </w:rPr>
      </w:pPr>
      <w:r w:rsidRPr="00F40A28">
        <w:rPr>
          <w:rFonts w:ascii="Times New Roman" w:eastAsiaTheme="minorEastAsia" w:cs="Times New Roman"/>
          <w:sz w:val="24"/>
          <w:szCs w:val="24"/>
        </w:rPr>
        <w:t>於</w:t>
      </w:r>
      <w:r w:rsidRPr="00F40A28">
        <w:rPr>
          <w:rFonts w:ascii="Times New Roman" w:eastAsiaTheme="minorEastAsia" w:cs="Times New Roman"/>
          <w:sz w:val="24"/>
          <w:szCs w:val="24"/>
        </w:rPr>
        <w:t xml:space="preserve"> 202</w:t>
      </w:r>
      <w:r w:rsidR="008357D2">
        <w:rPr>
          <w:rFonts w:ascii="Times New Roman" w:eastAsiaTheme="minorEastAsia" w:cs="Times New Roman"/>
          <w:sz w:val="24"/>
          <w:szCs w:val="24"/>
        </w:rPr>
        <w:t>4</w:t>
      </w:r>
      <w:r w:rsidRPr="00F40A28">
        <w:rPr>
          <w:rFonts w:ascii="Times New Roman" w:eastAsiaTheme="minorEastAsia" w:cs="Times New Roman"/>
          <w:sz w:val="24"/>
          <w:szCs w:val="24"/>
        </w:rPr>
        <w:t xml:space="preserve"> </w:t>
      </w:r>
      <w:r w:rsidRPr="00F40A28">
        <w:rPr>
          <w:rFonts w:ascii="Times New Roman" w:eastAsiaTheme="minorEastAsia" w:cs="Times New Roman"/>
          <w:sz w:val="24"/>
          <w:szCs w:val="24"/>
        </w:rPr>
        <w:t>年</w:t>
      </w:r>
      <w:r w:rsidRPr="00F40A28">
        <w:rPr>
          <w:rFonts w:ascii="Times New Roman" w:eastAsiaTheme="minorEastAsia" w:cs="Times New Roman"/>
          <w:sz w:val="24"/>
          <w:szCs w:val="24"/>
        </w:rPr>
        <w:t xml:space="preserve"> </w:t>
      </w:r>
      <w:r w:rsidR="008357D2">
        <w:rPr>
          <w:rFonts w:ascii="Times New Roman" w:eastAsiaTheme="minorEastAsia" w:cs="Times New Roman"/>
          <w:sz w:val="24"/>
          <w:szCs w:val="24"/>
        </w:rPr>
        <w:t>2</w:t>
      </w:r>
      <w:r w:rsidRPr="00F40A28">
        <w:rPr>
          <w:rFonts w:ascii="Times New Roman" w:eastAsiaTheme="minorEastAsia" w:cs="Times New Roman"/>
          <w:sz w:val="24"/>
          <w:szCs w:val="24"/>
        </w:rPr>
        <w:t xml:space="preserve"> </w:t>
      </w:r>
      <w:r w:rsidRPr="00F40A28">
        <w:rPr>
          <w:rFonts w:ascii="Times New Roman" w:eastAsiaTheme="minorEastAsia" w:cs="Times New Roman"/>
          <w:sz w:val="24"/>
          <w:szCs w:val="24"/>
        </w:rPr>
        <w:t>月</w:t>
      </w:r>
      <w:r w:rsidRPr="00F40A28">
        <w:rPr>
          <w:rFonts w:ascii="Times New Roman" w:eastAsiaTheme="minorEastAsia" w:cs="Times New Roman"/>
          <w:sz w:val="24"/>
          <w:szCs w:val="24"/>
        </w:rPr>
        <w:t xml:space="preserve"> </w:t>
      </w:r>
      <w:r w:rsidR="008357D2">
        <w:rPr>
          <w:rFonts w:ascii="Times New Roman" w:eastAsiaTheme="minorEastAsia" w:cs="Times New Roman"/>
          <w:sz w:val="24"/>
          <w:szCs w:val="24"/>
        </w:rPr>
        <w:t>23</w:t>
      </w:r>
      <w:r w:rsidRPr="00F40A28">
        <w:rPr>
          <w:rFonts w:ascii="Times New Roman" w:eastAsiaTheme="minorEastAsia" w:cs="Times New Roman"/>
          <w:sz w:val="24"/>
          <w:szCs w:val="24"/>
        </w:rPr>
        <w:t xml:space="preserve"> </w:t>
      </w:r>
      <w:r w:rsidRPr="00F40A28">
        <w:rPr>
          <w:rFonts w:ascii="Times New Roman" w:eastAsiaTheme="minorEastAsia" w:cs="Times New Roman"/>
          <w:sz w:val="24"/>
          <w:szCs w:val="24"/>
        </w:rPr>
        <w:t>日（</w:t>
      </w:r>
      <w:r w:rsidR="00A33344" w:rsidRPr="003841C3">
        <w:rPr>
          <w:rFonts w:ascii="Times New Roman" w:eastAsiaTheme="minorEastAsia" w:cs="Times New Roman"/>
          <w:sz w:val="24"/>
          <w:szCs w:val="24"/>
        </w:rPr>
        <w:t>聯交所</w:t>
      </w:r>
      <w:r w:rsidRPr="00F40A28">
        <w:rPr>
          <w:rFonts w:ascii="Times New Roman" w:eastAsiaTheme="minorEastAsia" w:cs="Times New Roman"/>
          <w:sz w:val="24"/>
          <w:szCs w:val="24"/>
        </w:rPr>
        <w:t>交易時段後），本公司與認購人訂立認購協議，據此，認購人</w:t>
      </w:r>
      <w:r w:rsidRPr="00F40A28">
        <w:rPr>
          <w:rFonts w:ascii="Times New Roman" w:eastAsiaTheme="minorEastAsia" w:cs="Times New Roman"/>
          <w:sz w:val="24"/>
          <w:szCs w:val="24"/>
        </w:rPr>
        <w:t xml:space="preserve"> </w:t>
      </w:r>
      <w:r w:rsidRPr="00F40A28">
        <w:rPr>
          <w:rFonts w:ascii="Times New Roman" w:eastAsiaTheme="minorEastAsia" w:cs="Times New Roman"/>
          <w:sz w:val="24"/>
          <w:szCs w:val="24"/>
        </w:rPr>
        <w:t>已有條件同意認購而本公司已有條件同意配發及發行合共</w:t>
      </w:r>
      <w:r w:rsidRPr="00F40A28">
        <w:rPr>
          <w:rFonts w:ascii="Times New Roman" w:eastAsiaTheme="minorEastAsia" w:cs="Times New Roman"/>
          <w:sz w:val="24"/>
          <w:szCs w:val="24"/>
        </w:rPr>
        <w:t xml:space="preserve"> </w:t>
      </w:r>
      <w:r w:rsidR="00B5249C">
        <w:rPr>
          <w:rFonts w:ascii="Times New Roman" w:eastAsiaTheme="minorEastAsia" w:cs="Times New Roman"/>
          <w:sz w:val="24"/>
          <w:szCs w:val="24"/>
        </w:rPr>
        <w:t>7,136,000</w:t>
      </w:r>
      <w:r w:rsidRPr="00F40A28">
        <w:rPr>
          <w:rFonts w:ascii="Times New Roman" w:eastAsiaTheme="minorEastAsia" w:cs="Times New Roman"/>
          <w:sz w:val="24"/>
          <w:szCs w:val="24"/>
        </w:rPr>
        <w:t xml:space="preserve"> </w:t>
      </w:r>
      <w:r w:rsidRPr="00F40A28">
        <w:rPr>
          <w:rFonts w:ascii="Times New Roman" w:eastAsiaTheme="minorEastAsia" w:cs="Times New Roman"/>
          <w:sz w:val="24"/>
          <w:szCs w:val="24"/>
        </w:rPr>
        <w:t>股新股份，認購</w:t>
      </w:r>
      <w:r w:rsidRPr="00F40A28">
        <w:rPr>
          <w:rFonts w:ascii="Times New Roman" w:eastAsiaTheme="minorEastAsia" w:cs="Times New Roman"/>
          <w:sz w:val="24"/>
          <w:szCs w:val="24"/>
        </w:rPr>
        <w:t xml:space="preserve"> </w:t>
      </w:r>
      <w:r w:rsidRPr="00F40A28">
        <w:rPr>
          <w:rFonts w:ascii="Times New Roman" w:eastAsiaTheme="minorEastAsia" w:cs="Times New Roman"/>
          <w:sz w:val="24"/>
          <w:szCs w:val="24"/>
        </w:rPr>
        <w:t>價為每股認購股份</w:t>
      </w:r>
      <w:r w:rsidRPr="00F40A28">
        <w:rPr>
          <w:rFonts w:ascii="Times New Roman" w:eastAsiaTheme="minorEastAsia" w:cs="Times New Roman"/>
          <w:sz w:val="24"/>
          <w:szCs w:val="24"/>
        </w:rPr>
        <w:t xml:space="preserve"> </w:t>
      </w:r>
      <w:r w:rsidR="009D1B38">
        <w:rPr>
          <w:rFonts w:ascii="Times New Roman" w:eastAsiaTheme="minorEastAsia" w:cs="Times New Roman"/>
          <w:sz w:val="24"/>
          <w:szCs w:val="24"/>
        </w:rPr>
        <w:t>1.40</w:t>
      </w:r>
      <w:r w:rsidRPr="00F40A28">
        <w:rPr>
          <w:rFonts w:ascii="Times New Roman" w:eastAsiaTheme="minorEastAsia" w:cs="Times New Roman"/>
          <w:sz w:val="24"/>
          <w:szCs w:val="24"/>
        </w:rPr>
        <w:t xml:space="preserve"> </w:t>
      </w:r>
      <w:r w:rsidRPr="00F40A28">
        <w:rPr>
          <w:rFonts w:ascii="Times New Roman" w:eastAsiaTheme="minorEastAsia" w:cs="Times New Roman"/>
          <w:sz w:val="24"/>
          <w:szCs w:val="24"/>
        </w:rPr>
        <w:t>港元。認購事項須待本公告「</w:t>
      </w:r>
      <w:r w:rsidRPr="009D1B38">
        <w:rPr>
          <w:rFonts w:ascii="Times New Roman" w:eastAsiaTheme="minorEastAsia" w:cs="Times New Roman"/>
          <w:b/>
          <w:bCs/>
          <w:sz w:val="24"/>
          <w:szCs w:val="24"/>
        </w:rPr>
        <w:t>認購事項之條件</w:t>
      </w:r>
      <w:r w:rsidRPr="00F40A28">
        <w:rPr>
          <w:rFonts w:ascii="Times New Roman" w:eastAsiaTheme="minorEastAsia" w:cs="Times New Roman"/>
          <w:sz w:val="24"/>
          <w:szCs w:val="24"/>
        </w:rPr>
        <w:t>」一段所載條件</w:t>
      </w:r>
      <w:r w:rsidRPr="00F40A28">
        <w:rPr>
          <w:rFonts w:ascii="Times New Roman" w:eastAsiaTheme="minorEastAsia" w:cs="Times New Roman"/>
          <w:sz w:val="24"/>
          <w:szCs w:val="24"/>
        </w:rPr>
        <w:t xml:space="preserve"> </w:t>
      </w:r>
      <w:r w:rsidRPr="00F40A28">
        <w:rPr>
          <w:rFonts w:ascii="Times New Roman" w:eastAsiaTheme="minorEastAsia" w:cs="Times New Roman"/>
          <w:sz w:val="24"/>
          <w:szCs w:val="24"/>
        </w:rPr>
        <w:t>達成後，方可作實。</w:t>
      </w:r>
    </w:p>
    <w:p w14:paraId="32851AF1" w14:textId="77777777" w:rsidR="00306207" w:rsidRDefault="00306207" w:rsidP="000263B0">
      <w:pPr>
        <w:spacing w:line="295" w:lineRule="auto"/>
        <w:ind w:left="284"/>
        <w:jc w:val="both"/>
        <w:rPr>
          <w:rFonts w:ascii="Times New Roman" w:eastAsiaTheme="minorEastAsia" w:cs="Times New Roman"/>
          <w:sz w:val="24"/>
          <w:szCs w:val="24"/>
        </w:rPr>
      </w:pPr>
    </w:p>
    <w:p w14:paraId="13D8C34C" w14:textId="32DCB42E" w:rsidR="00306207" w:rsidRPr="00620F61" w:rsidRDefault="00306207" w:rsidP="000263B0">
      <w:pPr>
        <w:spacing w:line="295" w:lineRule="auto"/>
        <w:ind w:left="284"/>
        <w:jc w:val="both"/>
        <w:rPr>
          <w:rFonts w:ascii="Times New Roman" w:eastAsiaTheme="minorEastAsia" w:cs="Times New Roman"/>
          <w:sz w:val="24"/>
          <w:szCs w:val="24"/>
        </w:rPr>
      </w:pPr>
      <w:r w:rsidRPr="00620F61">
        <w:rPr>
          <w:rFonts w:ascii="Times New Roman" w:eastAsiaTheme="minorEastAsia" w:cs="Times New Roman"/>
          <w:sz w:val="24"/>
          <w:szCs w:val="24"/>
        </w:rPr>
        <w:t>認購協議之主要條款載列如下</w:t>
      </w:r>
      <w:r w:rsidRPr="00620F61">
        <w:rPr>
          <w:rFonts w:ascii="Times New Roman" w:eastAsiaTheme="minorEastAsia" w:cs="Times New Roman" w:hint="eastAsia"/>
          <w:sz w:val="24"/>
          <w:szCs w:val="24"/>
        </w:rPr>
        <w:t>：</w:t>
      </w:r>
    </w:p>
    <w:p w14:paraId="6B2DC500" w14:textId="77777777" w:rsidR="00306207" w:rsidRDefault="00306207" w:rsidP="000263B0">
      <w:pPr>
        <w:spacing w:line="295" w:lineRule="auto"/>
        <w:ind w:left="284"/>
        <w:jc w:val="both"/>
        <w:rPr>
          <w:rFonts w:hAnsi="PMingLiU"/>
        </w:rPr>
      </w:pPr>
    </w:p>
    <w:p w14:paraId="3AB3A3E0" w14:textId="77777777" w:rsidR="006F30EC" w:rsidRDefault="006F30EC" w:rsidP="000263B0">
      <w:pPr>
        <w:spacing w:line="295" w:lineRule="auto"/>
        <w:ind w:left="284"/>
        <w:jc w:val="both"/>
        <w:rPr>
          <w:rFonts w:hAnsi="PMingLiU"/>
        </w:rPr>
      </w:pPr>
    </w:p>
    <w:p w14:paraId="5816010C" w14:textId="77777777" w:rsidR="00674C62" w:rsidRDefault="00306207" w:rsidP="000263B0">
      <w:pPr>
        <w:spacing w:line="295" w:lineRule="auto"/>
        <w:ind w:left="284"/>
        <w:jc w:val="both"/>
        <w:rPr>
          <w:b/>
          <w:bCs/>
        </w:rPr>
      </w:pPr>
      <w:r w:rsidRPr="00620F61">
        <w:rPr>
          <w:rFonts w:ascii="Times New Roman" w:eastAsiaTheme="minorEastAsia" w:cs="Times New Roman"/>
          <w:b/>
          <w:bCs/>
          <w:sz w:val="24"/>
          <w:szCs w:val="24"/>
        </w:rPr>
        <w:t>認購協議</w:t>
      </w:r>
      <w:r w:rsidRPr="00620F61">
        <w:rPr>
          <w:rFonts w:ascii="Times New Roman" w:eastAsiaTheme="minorEastAsia" w:cs="Times New Roman"/>
          <w:b/>
          <w:bCs/>
          <w:sz w:val="24"/>
          <w:szCs w:val="24"/>
        </w:rPr>
        <w:t xml:space="preserve"> </w:t>
      </w:r>
    </w:p>
    <w:p w14:paraId="44A99AB5" w14:textId="77777777" w:rsidR="00674C62" w:rsidRDefault="00674C62" w:rsidP="000263B0">
      <w:pPr>
        <w:spacing w:line="295" w:lineRule="auto"/>
        <w:ind w:left="284"/>
        <w:jc w:val="both"/>
        <w:rPr>
          <w:b/>
          <w:bCs/>
        </w:rPr>
      </w:pPr>
    </w:p>
    <w:p w14:paraId="06B8BEFF" w14:textId="45D97098" w:rsidR="00674C62" w:rsidRDefault="00306207" w:rsidP="000263B0">
      <w:pPr>
        <w:spacing w:line="295" w:lineRule="auto"/>
        <w:ind w:left="284"/>
        <w:jc w:val="both"/>
      </w:pPr>
      <w:r w:rsidRPr="00BD2E5D">
        <w:rPr>
          <w:rFonts w:ascii="Times New Roman" w:eastAsiaTheme="minorEastAsia" w:cs="Times New Roman"/>
          <w:b/>
          <w:bCs/>
          <w:sz w:val="24"/>
          <w:szCs w:val="24"/>
        </w:rPr>
        <w:t>日期：</w:t>
      </w:r>
      <w:r>
        <w:t xml:space="preserve"> </w:t>
      </w:r>
      <w:r w:rsidR="00674C62">
        <w:tab/>
      </w:r>
      <w:r w:rsidR="00674C62">
        <w:tab/>
      </w:r>
      <w:r w:rsidRPr="00620F61">
        <w:rPr>
          <w:rFonts w:ascii="Times New Roman" w:eastAsiaTheme="minorEastAsia" w:cs="Times New Roman"/>
          <w:sz w:val="24"/>
          <w:szCs w:val="24"/>
        </w:rPr>
        <w:t>202</w:t>
      </w:r>
      <w:r w:rsidR="00E515BB">
        <w:rPr>
          <w:rFonts w:ascii="Times New Roman" w:eastAsiaTheme="minorEastAsia" w:cs="Times New Roman"/>
          <w:sz w:val="24"/>
          <w:szCs w:val="24"/>
        </w:rPr>
        <w:t>4</w:t>
      </w:r>
      <w:r w:rsidRPr="00620F61">
        <w:rPr>
          <w:rFonts w:ascii="Times New Roman" w:eastAsiaTheme="minorEastAsia" w:cs="Times New Roman"/>
          <w:sz w:val="24"/>
          <w:szCs w:val="24"/>
        </w:rPr>
        <w:t xml:space="preserve"> </w:t>
      </w:r>
      <w:r w:rsidRPr="00620F61">
        <w:rPr>
          <w:rFonts w:ascii="Times New Roman" w:eastAsiaTheme="minorEastAsia" w:cs="Times New Roman"/>
          <w:sz w:val="24"/>
          <w:szCs w:val="24"/>
        </w:rPr>
        <w:t>年</w:t>
      </w:r>
      <w:r w:rsidRPr="00620F61">
        <w:rPr>
          <w:rFonts w:ascii="Times New Roman" w:eastAsiaTheme="minorEastAsia" w:cs="Times New Roman"/>
          <w:sz w:val="24"/>
          <w:szCs w:val="24"/>
        </w:rPr>
        <w:t xml:space="preserve"> </w:t>
      </w:r>
      <w:r w:rsidR="00E515BB">
        <w:rPr>
          <w:rFonts w:ascii="Times New Roman" w:eastAsiaTheme="minorEastAsia" w:cs="Times New Roman"/>
          <w:sz w:val="24"/>
          <w:szCs w:val="24"/>
        </w:rPr>
        <w:t>2</w:t>
      </w:r>
      <w:r w:rsidRPr="00620F61">
        <w:rPr>
          <w:rFonts w:ascii="Times New Roman" w:eastAsiaTheme="minorEastAsia" w:cs="Times New Roman"/>
          <w:sz w:val="24"/>
          <w:szCs w:val="24"/>
        </w:rPr>
        <w:t xml:space="preserve"> </w:t>
      </w:r>
      <w:r w:rsidRPr="00620F61">
        <w:rPr>
          <w:rFonts w:ascii="Times New Roman" w:eastAsiaTheme="minorEastAsia" w:cs="Times New Roman"/>
          <w:sz w:val="24"/>
          <w:szCs w:val="24"/>
        </w:rPr>
        <w:t>月</w:t>
      </w:r>
      <w:r w:rsidRPr="00620F61">
        <w:rPr>
          <w:rFonts w:ascii="Times New Roman" w:eastAsiaTheme="minorEastAsia" w:cs="Times New Roman"/>
          <w:sz w:val="24"/>
          <w:szCs w:val="24"/>
        </w:rPr>
        <w:t xml:space="preserve"> </w:t>
      </w:r>
      <w:r w:rsidR="00E515BB">
        <w:rPr>
          <w:rFonts w:ascii="Times New Roman" w:eastAsiaTheme="minorEastAsia" w:cs="Times New Roman"/>
          <w:sz w:val="24"/>
          <w:szCs w:val="24"/>
        </w:rPr>
        <w:t>23</w:t>
      </w:r>
      <w:r w:rsidRPr="00620F61">
        <w:rPr>
          <w:rFonts w:ascii="Times New Roman" w:eastAsiaTheme="minorEastAsia" w:cs="Times New Roman"/>
          <w:sz w:val="24"/>
          <w:szCs w:val="24"/>
        </w:rPr>
        <w:t xml:space="preserve"> </w:t>
      </w:r>
      <w:r w:rsidRPr="00620F61">
        <w:rPr>
          <w:rFonts w:ascii="Times New Roman" w:eastAsiaTheme="minorEastAsia" w:cs="Times New Roman"/>
          <w:sz w:val="24"/>
          <w:szCs w:val="24"/>
        </w:rPr>
        <w:t>日（交易時段後）</w:t>
      </w:r>
      <w:r>
        <w:t xml:space="preserve"> </w:t>
      </w:r>
    </w:p>
    <w:p w14:paraId="170726CF" w14:textId="77777777" w:rsidR="00620F61" w:rsidRDefault="00620F61" w:rsidP="000263B0">
      <w:pPr>
        <w:spacing w:line="295" w:lineRule="auto"/>
        <w:ind w:left="284"/>
        <w:jc w:val="both"/>
      </w:pPr>
    </w:p>
    <w:p w14:paraId="6D69F33E" w14:textId="77777777" w:rsidR="00674C62" w:rsidRDefault="00306207" w:rsidP="000263B0">
      <w:pPr>
        <w:spacing w:line="295" w:lineRule="auto"/>
        <w:ind w:left="284"/>
        <w:jc w:val="both"/>
        <w:rPr>
          <w:rFonts w:ascii="Times New Roman" w:eastAsiaTheme="minorEastAsia" w:cs="Times New Roman"/>
          <w:sz w:val="24"/>
          <w:szCs w:val="24"/>
        </w:rPr>
      </w:pPr>
      <w:r w:rsidRPr="00BD2E5D">
        <w:rPr>
          <w:rFonts w:ascii="Times New Roman" w:eastAsiaTheme="minorEastAsia" w:cs="Times New Roman"/>
          <w:b/>
          <w:bCs/>
          <w:sz w:val="24"/>
          <w:szCs w:val="24"/>
        </w:rPr>
        <w:t>訂約方：</w:t>
      </w:r>
      <w:r w:rsidRPr="00BD2E5D">
        <w:rPr>
          <w:b/>
          <w:bCs/>
        </w:rPr>
        <w:t xml:space="preserve"> </w:t>
      </w:r>
      <w:r w:rsidR="00674C62" w:rsidRPr="00BD2E5D">
        <w:rPr>
          <w:b/>
          <w:bCs/>
        </w:rPr>
        <w:tab/>
      </w:r>
      <w:r w:rsidR="00674C62">
        <w:tab/>
      </w:r>
      <w:r w:rsidRPr="00E515BB">
        <w:rPr>
          <w:rFonts w:ascii="Times New Roman" w:eastAsiaTheme="minorEastAsia" w:cs="Times New Roman"/>
          <w:sz w:val="24"/>
          <w:szCs w:val="24"/>
        </w:rPr>
        <w:t xml:space="preserve">(1) </w:t>
      </w:r>
      <w:r w:rsidRPr="00E515BB">
        <w:rPr>
          <w:rFonts w:ascii="Times New Roman" w:eastAsiaTheme="minorEastAsia" w:cs="Times New Roman"/>
          <w:sz w:val="24"/>
          <w:szCs w:val="24"/>
        </w:rPr>
        <w:t>本公司（作為發行人）；及</w:t>
      </w:r>
      <w:r w:rsidRPr="00E515BB">
        <w:rPr>
          <w:rFonts w:ascii="Times New Roman" w:eastAsiaTheme="minorEastAsia" w:cs="Times New Roman"/>
          <w:sz w:val="24"/>
          <w:szCs w:val="24"/>
        </w:rPr>
        <w:t xml:space="preserve"> </w:t>
      </w:r>
    </w:p>
    <w:p w14:paraId="000C2531" w14:textId="77777777" w:rsidR="00BD2E5D" w:rsidRPr="00E515BB" w:rsidRDefault="00BD2E5D" w:rsidP="000263B0">
      <w:pPr>
        <w:spacing w:line="295" w:lineRule="auto"/>
        <w:ind w:left="284"/>
        <w:jc w:val="both"/>
        <w:rPr>
          <w:rFonts w:ascii="Times New Roman" w:eastAsiaTheme="minorEastAsia" w:cs="Times New Roman"/>
          <w:sz w:val="24"/>
          <w:szCs w:val="24"/>
        </w:rPr>
      </w:pPr>
    </w:p>
    <w:p w14:paraId="483714C2" w14:textId="440ACD12" w:rsidR="00306207" w:rsidRPr="00F40A28" w:rsidRDefault="00306207" w:rsidP="00674C62">
      <w:pPr>
        <w:spacing w:line="295" w:lineRule="auto"/>
        <w:ind w:left="1724" w:firstLine="436"/>
        <w:jc w:val="both"/>
        <w:rPr>
          <w:rFonts w:ascii="Times New Roman" w:eastAsiaTheme="minorEastAsia" w:cs="Times New Roman"/>
          <w:sz w:val="24"/>
          <w:szCs w:val="24"/>
        </w:rPr>
      </w:pPr>
      <w:r w:rsidRPr="00E515BB">
        <w:rPr>
          <w:rFonts w:ascii="Times New Roman" w:eastAsiaTheme="minorEastAsia" w:cs="Times New Roman"/>
          <w:sz w:val="24"/>
          <w:szCs w:val="24"/>
        </w:rPr>
        <w:t xml:space="preserve">(2) </w:t>
      </w:r>
      <w:r w:rsidRPr="00E515BB">
        <w:rPr>
          <w:rFonts w:ascii="Times New Roman" w:eastAsiaTheme="minorEastAsia" w:cs="Times New Roman"/>
          <w:sz w:val="24"/>
          <w:szCs w:val="24"/>
        </w:rPr>
        <w:t>認購人</w:t>
      </w:r>
      <w:r w:rsidRPr="00E515BB">
        <w:rPr>
          <w:rFonts w:ascii="Times New Roman" w:eastAsiaTheme="minorEastAsia" w:cs="Times New Roman" w:hint="eastAsia"/>
          <w:sz w:val="24"/>
          <w:szCs w:val="24"/>
        </w:rPr>
        <w:t>。</w:t>
      </w:r>
    </w:p>
    <w:p w14:paraId="7C8A3DA8" w14:textId="77777777" w:rsidR="000263B0" w:rsidRPr="007213EC" w:rsidRDefault="000263B0" w:rsidP="000263B0">
      <w:pPr>
        <w:spacing w:line="295" w:lineRule="auto"/>
        <w:ind w:left="284"/>
        <w:jc w:val="both"/>
        <w:rPr>
          <w:rFonts w:ascii="Times New Roman" w:eastAsiaTheme="minorEastAsia" w:cs="Times New Roman"/>
          <w:sz w:val="24"/>
          <w:szCs w:val="24"/>
        </w:rPr>
      </w:pPr>
    </w:p>
    <w:p w14:paraId="43DEC9E4" w14:textId="654635A6" w:rsidR="005A4872" w:rsidRDefault="005A4872" w:rsidP="004455FC">
      <w:pPr>
        <w:spacing w:line="295" w:lineRule="auto"/>
        <w:ind w:left="290"/>
        <w:jc w:val="both"/>
        <w:rPr>
          <w:rFonts w:ascii="Times New Roman" w:eastAsiaTheme="minorEastAsia" w:cs="Times New Roman"/>
          <w:sz w:val="24"/>
          <w:szCs w:val="24"/>
        </w:rPr>
      </w:pPr>
      <w:r w:rsidRPr="005A4872">
        <w:rPr>
          <w:rFonts w:ascii="Times New Roman" w:eastAsiaTheme="minorEastAsia" w:cs="Times New Roman"/>
          <w:sz w:val="24"/>
          <w:szCs w:val="24"/>
        </w:rPr>
        <w:t>認購人</w:t>
      </w:r>
      <w:r w:rsidRPr="005A4872">
        <w:rPr>
          <w:rFonts w:ascii="Times New Roman" w:eastAsiaTheme="minorEastAsia" w:cs="Times New Roman" w:hint="eastAsia"/>
          <w:sz w:val="24"/>
          <w:szCs w:val="24"/>
        </w:rPr>
        <w:t>甘仿</w:t>
      </w:r>
      <w:r w:rsidR="00C855C3" w:rsidRPr="00C855C3">
        <w:rPr>
          <w:rFonts w:ascii="Times New Roman" w:eastAsiaTheme="minorEastAsia" w:cs="Times New Roman" w:hint="eastAsia"/>
          <w:sz w:val="24"/>
          <w:szCs w:val="24"/>
        </w:rPr>
        <w:t>倫</w:t>
      </w:r>
      <w:r w:rsidR="00CB461B" w:rsidRPr="00CB461B">
        <w:rPr>
          <w:rFonts w:ascii="Times New Roman" w:eastAsiaTheme="minorEastAsia" w:cs="Times New Roman"/>
          <w:sz w:val="24"/>
          <w:szCs w:val="24"/>
        </w:rPr>
        <w:t>先</w:t>
      </w:r>
      <w:r w:rsidR="00CB461B" w:rsidRPr="00CB461B">
        <w:rPr>
          <w:rFonts w:ascii="Times New Roman" w:eastAsiaTheme="minorEastAsia" w:cs="Times New Roman" w:hint="eastAsia"/>
          <w:sz w:val="24"/>
          <w:szCs w:val="24"/>
        </w:rPr>
        <w:t>生為企業主及香港及中國資本市場的投資者</w:t>
      </w:r>
      <w:r w:rsidR="00CB461B" w:rsidRPr="00E515BB">
        <w:rPr>
          <w:rFonts w:ascii="Times New Roman" w:eastAsiaTheme="minorEastAsia" w:cs="Times New Roman" w:hint="eastAsia"/>
          <w:sz w:val="24"/>
          <w:szCs w:val="24"/>
        </w:rPr>
        <w:t>。</w:t>
      </w:r>
      <w:r w:rsidR="0044680D">
        <w:rPr>
          <w:rFonts w:hAnsi="PMingLiU" w:hint="eastAsia"/>
          <w:sz w:val="24"/>
          <w:szCs w:val="24"/>
        </w:rPr>
        <w:t>緊隨</w:t>
      </w:r>
      <w:r w:rsidR="00C855C3" w:rsidRPr="00C855C3">
        <w:rPr>
          <w:rFonts w:ascii="Times New Roman" w:eastAsiaTheme="minorEastAsia" w:cs="Times New Roman" w:hint="eastAsia"/>
          <w:sz w:val="24"/>
          <w:szCs w:val="24"/>
        </w:rPr>
        <w:t>完成後，甘仿倫先生將獲委任為本公司之高級管理人員，</w:t>
      </w:r>
      <w:r w:rsidR="00287369" w:rsidRPr="00287369">
        <w:rPr>
          <w:rFonts w:ascii="Times New Roman" w:eastAsiaTheme="minorEastAsia" w:cs="Times New Roman" w:hint="eastAsia"/>
          <w:sz w:val="24"/>
          <w:szCs w:val="24"/>
        </w:rPr>
        <w:t>擔任本集團業務拓展之顧問工作。</w:t>
      </w:r>
    </w:p>
    <w:p w14:paraId="004D06D5" w14:textId="77777777" w:rsidR="00E273E4" w:rsidRDefault="00E273E4" w:rsidP="005A4872">
      <w:pPr>
        <w:spacing w:line="295" w:lineRule="auto"/>
        <w:ind w:firstLine="290"/>
        <w:jc w:val="both"/>
        <w:rPr>
          <w:rFonts w:ascii="Times New Roman" w:eastAsiaTheme="minorEastAsia" w:cs="Times New Roman"/>
          <w:sz w:val="24"/>
          <w:szCs w:val="24"/>
        </w:rPr>
      </w:pPr>
    </w:p>
    <w:p w14:paraId="2C6B8E7E" w14:textId="3201EDAD" w:rsidR="00E273E4" w:rsidRDefault="00E273E4" w:rsidP="00E273E4">
      <w:pPr>
        <w:spacing w:line="295" w:lineRule="auto"/>
        <w:ind w:left="290"/>
        <w:jc w:val="both"/>
        <w:rPr>
          <w:rFonts w:ascii="Times New Roman" w:eastAsiaTheme="minorEastAsia" w:cs="Times New Roman"/>
          <w:sz w:val="24"/>
          <w:szCs w:val="24"/>
        </w:rPr>
      </w:pPr>
      <w:r w:rsidRPr="00E273E4">
        <w:rPr>
          <w:rFonts w:ascii="Times New Roman" w:eastAsiaTheme="minorEastAsia" w:cs="Times New Roman"/>
          <w:sz w:val="24"/>
          <w:szCs w:val="24"/>
        </w:rPr>
        <w:t>據董事在作出一切合理查詢後所深知、全悉及確信，於本公告日期，認購人為獨立第三方。緊接簽訂認購協議前</w:t>
      </w:r>
      <w:r w:rsidR="003C0C1D" w:rsidRPr="00E273E4">
        <w:rPr>
          <w:rFonts w:ascii="Times New Roman" w:eastAsiaTheme="minorEastAsia" w:cs="Times New Roman"/>
          <w:sz w:val="24"/>
          <w:szCs w:val="24"/>
        </w:rPr>
        <w:t>，</w:t>
      </w:r>
      <w:r w:rsidRPr="00E273E4">
        <w:rPr>
          <w:rFonts w:ascii="Times New Roman" w:eastAsiaTheme="minorEastAsia" w:cs="Times New Roman"/>
          <w:sz w:val="24"/>
          <w:szCs w:val="24"/>
        </w:rPr>
        <w:t>認購人</w:t>
      </w:r>
      <w:r w:rsidR="003C0C1D" w:rsidRPr="00EA435A">
        <w:rPr>
          <w:rFonts w:ascii="Times New Roman" w:eastAsiaTheme="minorEastAsia" w:cs="Times New Roman"/>
          <w:sz w:val="24"/>
          <w:szCs w:val="24"/>
        </w:rPr>
        <w:t>擁有</w:t>
      </w:r>
      <w:r w:rsidR="003C0C1D" w:rsidRPr="00EA435A">
        <w:rPr>
          <w:rFonts w:ascii="Times New Roman" w:eastAsiaTheme="minorEastAsia" w:cs="Times New Roman" w:hint="eastAsia"/>
          <w:sz w:val="24"/>
          <w:szCs w:val="24"/>
        </w:rPr>
        <w:t xml:space="preserve"> </w:t>
      </w:r>
      <w:r w:rsidR="003C0C1D" w:rsidRPr="00EA435A">
        <w:rPr>
          <w:rFonts w:ascii="Times New Roman" w:eastAsiaTheme="minorEastAsia" w:cs="Times New Roman"/>
          <w:sz w:val="24"/>
          <w:szCs w:val="24"/>
        </w:rPr>
        <w:t xml:space="preserve">280,000 </w:t>
      </w:r>
      <w:r w:rsidR="003C0C1D" w:rsidRPr="00EA435A">
        <w:rPr>
          <w:rFonts w:ascii="Times New Roman" w:eastAsiaTheme="minorEastAsia" w:cs="Times New Roman"/>
          <w:sz w:val="24"/>
          <w:szCs w:val="24"/>
        </w:rPr>
        <w:t>股股</w:t>
      </w:r>
      <w:r w:rsidR="003C0C1D" w:rsidRPr="00EA435A">
        <w:rPr>
          <w:rFonts w:ascii="Times New Roman" w:eastAsiaTheme="minorEastAsia" w:cs="Times New Roman" w:hint="eastAsia"/>
          <w:sz w:val="24"/>
          <w:szCs w:val="24"/>
        </w:rPr>
        <w:t>份</w:t>
      </w:r>
      <w:r w:rsidR="003C0C1D" w:rsidRPr="00E273E4">
        <w:rPr>
          <w:rFonts w:ascii="Times New Roman" w:eastAsiaTheme="minorEastAsia" w:cs="Times New Roman"/>
          <w:sz w:val="24"/>
          <w:szCs w:val="24"/>
        </w:rPr>
        <w:t>，</w:t>
      </w:r>
      <w:r w:rsidR="003C0C1D" w:rsidRPr="00EA435A">
        <w:rPr>
          <w:rFonts w:ascii="Times New Roman" w:eastAsiaTheme="minorEastAsia" w:cs="Times New Roman"/>
          <w:sz w:val="24"/>
          <w:szCs w:val="24"/>
        </w:rPr>
        <w:t>於本公告日期佔本公司已發行股本總額約</w:t>
      </w:r>
      <w:r w:rsidR="003C0C1D" w:rsidRPr="00EA435A">
        <w:rPr>
          <w:rFonts w:ascii="Times New Roman" w:eastAsiaTheme="minorEastAsia" w:cs="Times New Roman"/>
          <w:sz w:val="24"/>
          <w:szCs w:val="24"/>
        </w:rPr>
        <w:t xml:space="preserve"> 0.78%</w:t>
      </w:r>
      <w:r w:rsidR="003C0C1D" w:rsidRPr="00EA435A">
        <w:rPr>
          <w:rFonts w:ascii="Times New Roman" w:eastAsiaTheme="minorEastAsia" w:cs="Times New Roman" w:hint="eastAsia"/>
          <w:sz w:val="24"/>
          <w:szCs w:val="24"/>
        </w:rPr>
        <w:t>。</w:t>
      </w:r>
    </w:p>
    <w:p w14:paraId="7DFA33F2" w14:textId="77777777" w:rsidR="00894812" w:rsidRDefault="00894812" w:rsidP="00E273E4">
      <w:pPr>
        <w:spacing w:line="295" w:lineRule="auto"/>
        <w:ind w:left="290"/>
        <w:jc w:val="both"/>
        <w:rPr>
          <w:rFonts w:ascii="Times New Roman" w:eastAsiaTheme="minorEastAsia" w:cs="Times New Roman"/>
          <w:sz w:val="24"/>
          <w:szCs w:val="24"/>
        </w:rPr>
      </w:pPr>
    </w:p>
    <w:p w14:paraId="328945E7" w14:textId="77777777" w:rsidR="006F30EC" w:rsidRDefault="006F30EC" w:rsidP="00E273E4">
      <w:pPr>
        <w:spacing w:line="295" w:lineRule="auto"/>
        <w:ind w:left="290"/>
        <w:jc w:val="both"/>
        <w:rPr>
          <w:rFonts w:ascii="Times New Roman" w:eastAsiaTheme="minorEastAsia" w:cs="Times New Roman"/>
          <w:sz w:val="24"/>
          <w:szCs w:val="24"/>
        </w:rPr>
      </w:pPr>
    </w:p>
    <w:p w14:paraId="7AE8A70D" w14:textId="4B28F8AD" w:rsidR="00894812" w:rsidRDefault="00894812" w:rsidP="00E273E4">
      <w:pPr>
        <w:spacing w:line="295" w:lineRule="auto"/>
        <w:ind w:left="290"/>
        <w:jc w:val="both"/>
        <w:rPr>
          <w:rFonts w:ascii="Times New Roman" w:eastAsiaTheme="minorEastAsia" w:cs="Times New Roman"/>
          <w:b/>
          <w:bCs/>
          <w:sz w:val="24"/>
          <w:szCs w:val="24"/>
        </w:rPr>
      </w:pPr>
      <w:r w:rsidRPr="001F109D">
        <w:rPr>
          <w:rFonts w:ascii="Times New Roman" w:eastAsiaTheme="minorEastAsia" w:cs="Times New Roman"/>
          <w:b/>
          <w:bCs/>
          <w:sz w:val="24"/>
          <w:szCs w:val="24"/>
        </w:rPr>
        <w:t>認購股</w:t>
      </w:r>
      <w:r w:rsidRPr="001F109D">
        <w:rPr>
          <w:rFonts w:ascii="Times New Roman" w:eastAsiaTheme="minorEastAsia" w:cs="Times New Roman" w:hint="eastAsia"/>
          <w:b/>
          <w:bCs/>
          <w:sz w:val="24"/>
          <w:szCs w:val="24"/>
        </w:rPr>
        <w:t>份</w:t>
      </w:r>
    </w:p>
    <w:p w14:paraId="6097FB38" w14:textId="77777777" w:rsidR="001F109D" w:rsidRDefault="001F109D" w:rsidP="00E273E4">
      <w:pPr>
        <w:spacing w:line="295" w:lineRule="auto"/>
        <w:ind w:left="290"/>
        <w:jc w:val="both"/>
        <w:rPr>
          <w:rFonts w:ascii="Times New Roman" w:eastAsiaTheme="minorEastAsia" w:cs="Times New Roman"/>
          <w:b/>
          <w:bCs/>
          <w:sz w:val="24"/>
          <w:szCs w:val="24"/>
        </w:rPr>
      </w:pPr>
    </w:p>
    <w:p w14:paraId="69F01241" w14:textId="2CA6164A" w:rsidR="001F109D" w:rsidRPr="00023F7A" w:rsidRDefault="00BA7948" w:rsidP="00E273E4">
      <w:pPr>
        <w:spacing w:line="295" w:lineRule="auto"/>
        <w:ind w:left="290"/>
        <w:jc w:val="both"/>
        <w:rPr>
          <w:rFonts w:ascii="Times New Roman" w:eastAsiaTheme="minorEastAsia" w:cs="Times New Roman"/>
          <w:sz w:val="24"/>
          <w:szCs w:val="24"/>
        </w:rPr>
      </w:pPr>
      <w:r w:rsidRPr="00023F7A">
        <w:rPr>
          <w:rFonts w:ascii="Times New Roman" w:eastAsiaTheme="minorEastAsia" w:cs="Times New Roman"/>
          <w:sz w:val="24"/>
          <w:szCs w:val="24"/>
        </w:rPr>
        <w:t>認購股份相當於</w:t>
      </w:r>
      <w:r w:rsidRPr="00023F7A">
        <w:rPr>
          <w:rFonts w:ascii="Times New Roman" w:eastAsiaTheme="minorEastAsia" w:cs="Times New Roman"/>
          <w:sz w:val="24"/>
          <w:szCs w:val="24"/>
        </w:rPr>
        <w:t xml:space="preserve">: (a) </w:t>
      </w:r>
      <w:r w:rsidRPr="00023F7A">
        <w:rPr>
          <w:rFonts w:ascii="Times New Roman" w:eastAsiaTheme="minorEastAsia" w:cs="Times New Roman"/>
          <w:sz w:val="24"/>
          <w:szCs w:val="24"/>
        </w:rPr>
        <w:t>本公司於本公告日期的已發行股本約</w:t>
      </w:r>
      <w:r w:rsidRPr="00023F7A">
        <w:rPr>
          <w:rFonts w:ascii="Times New Roman" w:eastAsiaTheme="minorEastAsia" w:cs="Times New Roman"/>
          <w:sz w:val="24"/>
          <w:szCs w:val="24"/>
        </w:rPr>
        <w:t xml:space="preserve"> 20.0%</w:t>
      </w:r>
      <w:r w:rsidRPr="00023F7A">
        <w:rPr>
          <w:rFonts w:ascii="Times New Roman" w:eastAsiaTheme="minorEastAsia" w:cs="Times New Roman"/>
          <w:sz w:val="24"/>
          <w:szCs w:val="24"/>
        </w:rPr>
        <w:t>；及</w:t>
      </w:r>
      <w:r w:rsidRPr="00023F7A">
        <w:rPr>
          <w:rFonts w:ascii="Times New Roman" w:eastAsiaTheme="minorEastAsia" w:cs="Times New Roman"/>
          <w:sz w:val="24"/>
          <w:szCs w:val="24"/>
        </w:rPr>
        <w:t xml:space="preserve"> (b) </w:t>
      </w:r>
      <w:r w:rsidRPr="00023F7A">
        <w:rPr>
          <w:rFonts w:ascii="Times New Roman" w:eastAsiaTheme="minorEastAsia" w:cs="Times New Roman"/>
          <w:sz w:val="24"/>
          <w:szCs w:val="24"/>
        </w:rPr>
        <w:t>緊接認購事項完成後經配發及發行認購股份而擴大的本公司已發行股本（假設除發行認購股份外，自本公告日期起至完成日期，本公司已發行股份總數並無</w:t>
      </w:r>
      <w:r w:rsidRPr="00023F7A">
        <w:rPr>
          <w:rFonts w:ascii="Times New Roman" w:eastAsiaTheme="minorEastAsia" w:cs="Times New Roman"/>
          <w:sz w:val="24"/>
          <w:szCs w:val="24"/>
        </w:rPr>
        <w:t xml:space="preserve"> </w:t>
      </w:r>
      <w:r w:rsidRPr="00023F7A">
        <w:rPr>
          <w:rFonts w:ascii="Times New Roman" w:eastAsiaTheme="minorEastAsia" w:cs="Times New Roman"/>
          <w:sz w:val="24"/>
          <w:szCs w:val="24"/>
        </w:rPr>
        <w:t>變動）</w:t>
      </w:r>
      <w:r w:rsidRPr="00023F7A">
        <w:rPr>
          <w:rFonts w:ascii="Times New Roman" w:eastAsiaTheme="minorEastAsia" w:cs="Times New Roman" w:hint="eastAsia"/>
          <w:sz w:val="24"/>
          <w:szCs w:val="24"/>
        </w:rPr>
        <w:t>1</w:t>
      </w:r>
      <w:r w:rsidRPr="00023F7A">
        <w:rPr>
          <w:rFonts w:ascii="Times New Roman" w:eastAsiaTheme="minorEastAsia" w:cs="Times New Roman"/>
          <w:sz w:val="24"/>
          <w:szCs w:val="24"/>
        </w:rPr>
        <w:t>6.7%</w:t>
      </w:r>
      <w:r w:rsidRPr="00023F7A">
        <w:rPr>
          <w:rFonts w:ascii="Times New Roman" w:eastAsiaTheme="minorEastAsia" w:cs="Times New Roman" w:hint="eastAsia"/>
          <w:sz w:val="24"/>
          <w:szCs w:val="24"/>
        </w:rPr>
        <w:t>。</w:t>
      </w:r>
    </w:p>
    <w:p w14:paraId="0AC524E2" w14:textId="77777777" w:rsidR="00630F56" w:rsidRDefault="00630F56" w:rsidP="00E273E4">
      <w:pPr>
        <w:spacing w:line="295" w:lineRule="auto"/>
        <w:ind w:left="290"/>
        <w:jc w:val="both"/>
        <w:rPr>
          <w:rFonts w:hAnsi="PMingLiU"/>
        </w:rPr>
      </w:pPr>
    </w:p>
    <w:p w14:paraId="3FA37F71" w14:textId="409C075D" w:rsidR="00630F56" w:rsidRDefault="00630F56" w:rsidP="00E273E4">
      <w:pPr>
        <w:spacing w:line="295" w:lineRule="auto"/>
        <w:ind w:left="290"/>
        <w:jc w:val="both"/>
        <w:rPr>
          <w:rFonts w:ascii="Times New Roman" w:eastAsiaTheme="minorEastAsia" w:cs="Times New Roman"/>
          <w:sz w:val="24"/>
          <w:szCs w:val="24"/>
        </w:rPr>
      </w:pPr>
      <w:r w:rsidRPr="00023F7A">
        <w:rPr>
          <w:rFonts w:ascii="Times New Roman" w:eastAsiaTheme="minorEastAsia" w:cs="Times New Roman"/>
          <w:sz w:val="24"/>
          <w:szCs w:val="24"/>
        </w:rPr>
        <w:t>認購股份的總面值將為</w:t>
      </w:r>
      <w:r w:rsidRPr="00023F7A">
        <w:rPr>
          <w:rFonts w:ascii="Times New Roman" w:eastAsiaTheme="minorEastAsia" w:cs="Times New Roman"/>
          <w:sz w:val="24"/>
          <w:szCs w:val="24"/>
        </w:rPr>
        <w:t xml:space="preserve"> 1,784,000 </w:t>
      </w:r>
      <w:r w:rsidRPr="00023F7A">
        <w:rPr>
          <w:rFonts w:ascii="Times New Roman" w:eastAsiaTheme="minorEastAsia" w:cs="Times New Roman"/>
          <w:sz w:val="24"/>
          <w:szCs w:val="24"/>
        </w:rPr>
        <w:t>港元</w:t>
      </w:r>
      <w:r w:rsidRPr="00023F7A">
        <w:rPr>
          <w:rFonts w:ascii="Times New Roman" w:eastAsiaTheme="minorEastAsia" w:cs="Times New Roman" w:hint="eastAsia"/>
          <w:sz w:val="24"/>
          <w:szCs w:val="24"/>
        </w:rPr>
        <w:t>。</w:t>
      </w:r>
    </w:p>
    <w:p w14:paraId="0B0D1AF0" w14:textId="77777777" w:rsidR="00131551" w:rsidRDefault="00131551" w:rsidP="00E273E4">
      <w:pPr>
        <w:spacing w:line="295" w:lineRule="auto"/>
        <w:ind w:left="290"/>
        <w:jc w:val="both"/>
        <w:rPr>
          <w:rFonts w:ascii="Times New Roman" w:eastAsiaTheme="minorEastAsia" w:cs="Times New Roman"/>
          <w:sz w:val="24"/>
          <w:szCs w:val="24"/>
        </w:rPr>
      </w:pPr>
    </w:p>
    <w:p w14:paraId="070F748F" w14:textId="77777777" w:rsidR="006F30EC" w:rsidRDefault="006F30EC" w:rsidP="00E273E4">
      <w:pPr>
        <w:spacing w:line="295" w:lineRule="auto"/>
        <w:ind w:left="290"/>
        <w:jc w:val="both"/>
        <w:rPr>
          <w:rFonts w:ascii="Times New Roman" w:eastAsiaTheme="minorEastAsia" w:cs="Times New Roman"/>
          <w:sz w:val="24"/>
          <w:szCs w:val="24"/>
        </w:rPr>
      </w:pPr>
    </w:p>
    <w:p w14:paraId="778AF4E6" w14:textId="7B1B0468" w:rsidR="00131551" w:rsidRDefault="00131551" w:rsidP="00E273E4">
      <w:pPr>
        <w:spacing w:line="295" w:lineRule="auto"/>
        <w:ind w:left="290"/>
        <w:jc w:val="both"/>
        <w:rPr>
          <w:rFonts w:hAnsi="PMingLiU"/>
          <w:b/>
          <w:bCs/>
          <w:sz w:val="24"/>
          <w:szCs w:val="24"/>
        </w:rPr>
      </w:pPr>
      <w:r w:rsidRPr="00131551">
        <w:rPr>
          <w:b/>
          <w:bCs/>
          <w:sz w:val="24"/>
          <w:szCs w:val="24"/>
        </w:rPr>
        <w:t>認購</w:t>
      </w:r>
      <w:r w:rsidRPr="00131551">
        <w:rPr>
          <w:rFonts w:hAnsi="PMingLiU" w:hint="eastAsia"/>
          <w:b/>
          <w:bCs/>
          <w:sz w:val="24"/>
          <w:szCs w:val="24"/>
        </w:rPr>
        <w:t>價</w:t>
      </w:r>
    </w:p>
    <w:p w14:paraId="72EA444D" w14:textId="77777777" w:rsidR="00131551" w:rsidRDefault="00131551" w:rsidP="00E273E4">
      <w:pPr>
        <w:spacing w:line="295" w:lineRule="auto"/>
        <w:ind w:left="290"/>
        <w:jc w:val="both"/>
        <w:rPr>
          <w:rFonts w:ascii="Times New Roman" w:eastAsiaTheme="minorEastAsia" w:cs="Times New Roman"/>
          <w:b/>
          <w:bCs/>
          <w:sz w:val="24"/>
          <w:szCs w:val="24"/>
        </w:rPr>
      </w:pPr>
    </w:p>
    <w:p w14:paraId="48BC1430" w14:textId="66C2B029" w:rsidR="00131551" w:rsidRDefault="00131551" w:rsidP="00E273E4">
      <w:pPr>
        <w:spacing w:line="295" w:lineRule="auto"/>
        <w:ind w:left="290"/>
        <w:jc w:val="both"/>
        <w:rPr>
          <w:rFonts w:ascii="Times New Roman" w:eastAsiaTheme="minorEastAsia" w:cs="Times New Roman"/>
          <w:sz w:val="24"/>
          <w:szCs w:val="24"/>
        </w:rPr>
      </w:pPr>
      <w:r w:rsidRPr="00131551">
        <w:rPr>
          <w:rFonts w:ascii="Times New Roman" w:eastAsiaTheme="minorEastAsia" w:cs="Times New Roman"/>
          <w:sz w:val="24"/>
          <w:szCs w:val="24"/>
        </w:rPr>
        <w:t>認購價每股認購股份</w:t>
      </w:r>
      <w:r w:rsidRPr="00131551">
        <w:rPr>
          <w:rFonts w:ascii="Times New Roman" w:eastAsiaTheme="minorEastAsia" w:cs="Times New Roman"/>
          <w:sz w:val="24"/>
          <w:szCs w:val="24"/>
        </w:rPr>
        <w:t xml:space="preserve"> </w:t>
      </w:r>
      <w:r>
        <w:rPr>
          <w:rFonts w:ascii="Times New Roman" w:eastAsiaTheme="minorEastAsia" w:cs="Times New Roman"/>
          <w:sz w:val="24"/>
          <w:szCs w:val="24"/>
        </w:rPr>
        <w:t xml:space="preserve">1.40 </w:t>
      </w:r>
      <w:r w:rsidRPr="00131551">
        <w:rPr>
          <w:rFonts w:ascii="Times New Roman" w:eastAsiaTheme="minorEastAsia" w:cs="Times New Roman"/>
          <w:sz w:val="24"/>
          <w:szCs w:val="24"/>
        </w:rPr>
        <w:t>港元較：</w:t>
      </w:r>
      <w:r w:rsidRPr="00131551">
        <w:rPr>
          <w:rFonts w:ascii="Times New Roman" w:eastAsiaTheme="minorEastAsia" w:cs="Times New Roman"/>
          <w:sz w:val="24"/>
          <w:szCs w:val="24"/>
        </w:rPr>
        <w:t xml:space="preserve"> </w:t>
      </w:r>
    </w:p>
    <w:p w14:paraId="4BFE5926" w14:textId="77777777" w:rsidR="00131551" w:rsidRDefault="00131551" w:rsidP="00E273E4">
      <w:pPr>
        <w:spacing w:line="295" w:lineRule="auto"/>
        <w:ind w:left="290"/>
        <w:jc w:val="both"/>
        <w:rPr>
          <w:rFonts w:ascii="Times New Roman" w:eastAsiaTheme="minorEastAsia" w:cs="Times New Roman"/>
          <w:sz w:val="24"/>
          <w:szCs w:val="24"/>
        </w:rPr>
      </w:pPr>
    </w:p>
    <w:p w14:paraId="67B269E4" w14:textId="7AB0C14E" w:rsidR="00B506CA" w:rsidRDefault="00131551" w:rsidP="006A6A6D">
      <w:pPr>
        <w:spacing w:line="295" w:lineRule="auto"/>
        <w:ind w:left="720"/>
        <w:jc w:val="both"/>
        <w:rPr>
          <w:rFonts w:ascii="Times New Roman" w:eastAsiaTheme="minorEastAsia" w:cs="Times New Roman"/>
          <w:sz w:val="24"/>
          <w:szCs w:val="24"/>
        </w:rPr>
      </w:pPr>
      <w:r w:rsidRPr="00131551">
        <w:rPr>
          <w:rFonts w:ascii="Times New Roman" w:eastAsiaTheme="minorEastAsia" w:cs="Times New Roman"/>
          <w:sz w:val="24"/>
          <w:szCs w:val="24"/>
        </w:rPr>
        <w:t xml:space="preserve">(a) </w:t>
      </w:r>
      <w:r w:rsidRPr="00131551">
        <w:rPr>
          <w:rFonts w:ascii="Times New Roman" w:eastAsiaTheme="minorEastAsia" w:cs="Times New Roman"/>
          <w:sz w:val="24"/>
          <w:szCs w:val="24"/>
        </w:rPr>
        <w:t>股份於緊接認購協議</w:t>
      </w:r>
      <w:r w:rsidR="002505DD" w:rsidRPr="002505DD">
        <w:rPr>
          <w:rFonts w:ascii="Times New Roman" w:eastAsiaTheme="minorEastAsia" w:cs="Times New Roman"/>
          <w:sz w:val="24"/>
          <w:szCs w:val="24"/>
        </w:rPr>
        <w:t>日期</w:t>
      </w:r>
      <w:r w:rsidRPr="00131551">
        <w:rPr>
          <w:rFonts w:ascii="Times New Roman" w:eastAsiaTheme="minorEastAsia" w:cs="Times New Roman"/>
          <w:sz w:val="24"/>
          <w:szCs w:val="24"/>
        </w:rPr>
        <w:t>在聯交所所報收市價每股</w:t>
      </w:r>
      <w:r w:rsidRPr="00131551">
        <w:rPr>
          <w:rFonts w:ascii="Times New Roman" w:eastAsiaTheme="minorEastAsia" w:cs="Times New Roman"/>
          <w:sz w:val="24"/>
          <w:szCs w:val="24"/>
        </w:rPr>
        <w:t xml:space="preserve"> </w:t>
      </w:r>
      <w:r w:rsidR="00A769D0">
        <w:rPr>
          <w:rFonts w:ascii="Times New Roman" w:eastAsiaTheme="minorEastAsia" w:cs="Times New Roman"/>
          <w:sz w:val="24"/>
          <w:szCs w:val="24"/>
        </w:rPr>
        <w:t>0.95</w:t>
      </w:r>
      <w:r w:rsidRPr="00131551">
        <w:rPr>
          <w:rFonts w:ascii="Times New Roman" w:eastAsiaTheme="minorEastAsia" w:cs="Times New Roman"/>
          <w:sz w:val="24"/>
          <w:szCs w:val="24"/>
        </w:rPr>
        <w:t xml:space="preserve"> </w:t>
      </w:r>
      <w:r w:rsidRPr="00131551">
        <w:rPr>
          <w:rFonts w:ascii="Times New Roman" w:eastAsiaTheme="minorEastAsia" w:cs="Times New Roman"/>
          <w:sz w:val="24"/>
          <w:szCs w:val="24"/>
        </w:rPr>
        <w:t>港元</w:t>
      </w:r>
      <w:r w:rsidR="00144313" w:rsidRPr="007C424E">
        <w:rPr>
          <w:rFonts w:ascii="Times New Roman" w:eastAsiaTheme="minorEastAsia" w:cs="Times New Roman"/>
          <w:sz w:val="24"/>
          <w:szCs w:val="24"/>
        </w:rPr>
        <w:t>溢</w:t>
      </w:r>
      <w:r w:rsidR="00144313" w:rsidRPr="007C424E">
        <w:rPr>
          <w:rFonts w:ascii="Times New Roman" w:eastAsiaTheme="minorEastAsia" w:cs="Times New Roman" w:hint="eastAsia"/>
          <w:sz w:val="24"/>
          <w:szCs w:val="24"/>
        </w:rPr>
        <w:t>價</w:t>
      </w:r>
      <w:r w:rsidRPr="00131551">
        <w:rPr>
          <w:rFonts w:ascii="Times New Roman" w:eastAsiaTheme="minorEastAsia" w:cs="Times New Roman"/>
          <w:sz w:val="24"/>
          <w:szCs w:val="24"/>
        </w:rPr>
        <w:t>約</w:t>
      </w:r>
      <w:r w:rsidRPr="00131551">
        <w:rPr>
          <w:rFonts w:ascii="Times New Roman" w:eastAsiaTheme="minorEastAsia" w:cs="Times New Roman"/>
          <w:sz w:val="24"/>
          <w:szCs w:val="24"/>
        </w:rPr>
        <w:t xml:space="preserve"> </w:t>
      </w:r>
      <w:r w:rsidR="00A769D0">
        <w:rPr>
          <w:rFonts w:ascii="Times New Roman" w:eastAsiaTheme="minorEastAsia" w:cs="Times New Roman"/>
          <w:sz w:val="24"/>
          <w:szCs w:val="24"/>
        </w:rPr>
        <w:t>47.4</w:t>
      </w:r>
      <w:r w:rsidRPr="00131551">
        <w:rPr>
          <w:rFonts w:ascii="Times New Roman" w:eastAsiaTheme="minorEastAsia" w:cs="Times New Roman"/>
          <w:sz w:val="24"/>
          <w:szCs w:val="24"/>
        </w:rPr>
        <w:t>%</w:t>
      </w:r>
      <w:r w:rsidRPr="00131551">
        <w:rPr>
          <w:rFonts w:ascii="Times New Roman" w:eastAsiaTheme="minorEastAsia" w:cs="Times New Roman"/>
          <w:sz w:val="24"/>
          <w:szCs w:val="24"/>
        </w:rPr>
        <w:t>；及</w:t>
      </w:r>
      <w:r w:rsidRPr="00131551">
        <w:rPr>
          <w:rFonts w:ascii="Times New Roman" w:eastAsiaTheme="minorEastAsia" w:cs="Times New Roman"/>
          <w:sz w:val="24"/>
          <w:szCs w:val="24"/>
        </w:rPr>
        <w:t xml:space="preserve"> </w:t>
      </w:r>
    </w:p>
    <w:p w14:paraId="7493BB6E" w14:textId="77777777" w:rsidR="00B506CA" w:rsidRDefault="00B506CA" w:rsidP="00E273E4">
      <w:pPr>
        <w:spacing w:line="295" w:lineRule="auto"/>
        <w:ind w:left="290"/>
        <w:jc w:val="both"/>
        <w:rPr>
          <w:rFonts w:ascii="Times New Roman" w:eastAsiaTheme="minorEastAsia" w:cs="Times New Roman"/>
          <w:sz w:val="24"/>
          <w:szCs w:val="24"/>
        </w:rPr>
      </w:pPr>
    </w:p>
    <w:p w14:paraId="7E0DDF2A" w14:textId="42954C0F" w:rsidR="00131551" w:rsidRDefault="00131551" w:rsidP="006A6A6D">
      <w:pPr>
        <w:spacing w:line="295" w:lineRule="auto"/>
        <w:ind w:left="720"/>
        <w:jc w:val="both"/>
        <w:rPr>
          <w:rFonts w:ascii="Times New Roman" w:eastAsiaTheme="minorEastAsia" w:cs="Times New Roman"/>
          <w:sz w:val="24"/>
          <w:szCs w:val="24"/>
        </w:rPr>
      </w:pPr>
      <w:r w:rsidRPr="00131551">
        <w:rPr>
          <w:rFonts w:ascii="Times New Roman" w:eastAsiaTheme="minorEastAsia" w:cs="Times New Roman"/>
          <w:sz w:val="24"/>
          <w:szCs w:val="24"/>
        </w:rPr>
        <w:lastRenderedPageBreak/>
        <w:t xml:space="preserve">(b) </w:t>
      </w:r>
      <w:r w:rsidRPr="00131551">
        <w:rPr>
          <w:rFonts w:ascii="Times New Roman" w:eastAsiaTheme="minorEastAsia" w:cs="Times New Roman"/>
          <w:sz w:val="24"/>
          <w:szCs w:val="24"/>
        </w:rPr>
        <w:t>股份緊接認購協議日期前最後連續五個交易日在聯交所所報之平均收市價每股</w:t>
      </w:r>
      <w:r w:rsidRPr="00131551">
        <w:rPr>
          <w:rFonts w:ascii="Times New Roman" w:eastAsiaTheme="minorEastAsia" w:cs="Times New Roman"/>
          <w:sz w:val="24"/>
          <w:szCs w:val="24"/>
        </w:rPr>
        <w:t xml:space="preserve"> </w:t>
      </w:r>
      <w:r w:rsidR="00A659AE">
        <w:rPr>
          <w:rFonts w:ascii="Times New Roman" w:eastAsiaTheme="minorEastAsia" w:cs="Times New Roman"/>
          <w:sz w:val="24"/>
          <w:szCs w:val="24"/>
        </w:rPr>
        <w:t>1.03</w:t>
      </w:r>
      <w:r w:rsidRPr="00131551">
        <w:rPr>
          <w:rFonts w:ascii="Times New Roman" w:eastAsiaTheme="minorEastAsia" w:cs="Times New Roman"/>
          <w:sz w:val="24"/>
          <w:szCs w:val="24"/>
        </w:rPr>
        <w:t xml:space="preserve"> </w:t>
      </w:r>
      <w:r w:rsidRPr="00131551">
        <w:rPr>
          <w:rFonts w:ascii="Times New Roman" w:eastAsiaTheme="minorEastAsia" w:cs="Times New Roman"/>
          <w:sz w:val="24"/>
          <w:szCs w:val="24"/>
        </w:rPr>
        <w:t>港元</w:t>
      </w:r>
      <w:r w:rsidR="00E5665E" w:rsidRPr="007C424E">
        <w:rPr>
          <w:rFonts w:ascii="Times New Roman" w:eastAsiaTheme="minorEastAsia" w:cs="Times New Roman"/>
          <w:sz w:val="24"/>
          <w:szCs w:val="24"/>
        </w:rPr>
        <w:t>溢</w:t>
      </w:r>
      <w:r w:rsidR="00E5665E" w:rsidRPr="007C424E">
        <w:rPr>
          <w:rFonts w:ascii="Times New Roman" w:eastAsiaTheme="minorEastAsia" w:cs="Times New Roman" w:hint="eastAsia"/>
          <w:sz w:val="24"/>
          <w:szCs w:val="24"/>
        </w:rPr>
        <w:t>價</w:t>
      </w:r>
      <w:r w:rsidRPr="00131551">
        <w:rPr>
          <w:rFonts w:ascii="Times New Roman" w:eastAsiaTheme="minorEastAsia" w:cs="Times New Roman"/>
          <w:sz w:val="24"/>
          <w:szCs w:val="24"/>
        </w:rPr>
        <w:t>約</w:t>
      </w:r>
      <w:r w:rsidRPr="00131551">
        <w:rPr>
          <w:rFonts w:ascii="Times New Roman" w:eastAsiaTheme="minorEastAsia" w:cs="Times New Roman"/>
          <w:sz w:val="24"/>
          <w:szCs w:val="24"/>
        </w:rPr>
        <w:t xml:space="preserve"> </w:t>
      </w:r>
      <w:r w:rsidR="00D04047">
        <w:rPr>
          <w:rFonts w:ascii="Times New Roman" w:eastAsiaTheme="minorEastAsia" w:cs="Times New Roman"/>
          <w:sz w:val="24"/>
          <w:szCs w:val="24"/>
        </w:rPr>
        <w:t>35.9</w:t>
      </w:r>
      <w:r w:rsidRPr="00131551">
        <w:rPr>
          <w:rFonts w:ascii="Times New Roman" w:eastAsiaTheme="minorEastAsia" w:cs="Times New Roman"/>
          <w:sz w:val="24"/>
          <w:szCs w:val="24"/>
        </w:rPr>
        <w:t>%</w:t>
      </w:r>
      <w:r w:rsidRPr="00131551">
        <w:rPr>
          <w:rFonts w:ascii="Times New Roman" w:eastAsiaTheme="minorEastAsia" w:cs="Times New Roman" w:hint="eastAsia"/>
          <w:sz w:val="24"/>
          <w:szCs w:val="24"/>
        </w:rPr>
        <w:t>。</w:t>
      </w:r>
    </w:p>
    <w:p w14:paraId="2D4D05A0" w14:textId="77777777" w:rsidR="00C317C2" w:rsidRDefault="00C317C2" w:rsidP="00C317C2">
      <w:pPr>
        <w:spacing w:line="295" w:lineRule="auto"/>
        <w:jc w:val="both"/>
        <w:rPr>
          <w:rFonts w:ascii="Times New Roman" w:eastAsiaTheme="minorEastAsia" w:cs="Times New Roman"/>
          <w:sz w:val="24"/>
          <w:szCs w:val="24"/>
        </w:rPr>
      </w:pPr>
    </w:p>
    <w:p w14:paraId="553D26F5" w14:textId="76F7444C" w:rsidR="00323918" w:rsidRDefault="00701B0F" w:rsidP="006F30EC">
      <w:pPr>
        <w:spacing w:line="295" w:lineRule="auto"/>
        <w:ind w:left="290"/>
        <w:jc w:val="both"/>
        <w:rPr>
          <w:rFonts w:hAnsi="PMingLiU"/>
          <w:sz w:val="24"/>
          <w:szCs w:val="24"/>
        </w:rPr>
      </w:pPr>
      <w:r w:rsidRPr="00701B0F">
        <w:rPr>
          <w:sz w:val="24"/>
          <w:szCs w:val="24"/>
        </w:rPr>
        <w:t>認購價乃由本公司與認購人參考股份近期市場價格與現行市況，經公平磋商後釐定。 董事認為，認購協議之條款及條件包括認購價乃經公平磋商後按一般商業條款訂立且其條款屬公平合理，並符合本公司及股東的整體利益</w:t>
      </w:r>
      <w:r w:rsidRPr="00701B0F">
        <w:rPr>
          <w:rFonts w:hAnsi="PMingLiU" w:hint="eastAsia"/>
          <w:sz w:val="24"/>
          <w:szCs w:val="24"/>
        </w:rPr>
        <w:t>。</w:t>
      </w:r>
    </w:p>
    <w:p w14:paraId="672AF3B5" w14:textId="77777777" w:rsidR="006F30EC" w:rsidRDefault="006F30EC" w:rsidP="00604173">
      <w:pPr>
        <w:spacing w:line="295" w:lineRule="auto"/>
        <w:jc w:val="both"/>
        <w:rPr>
          <w:rFonts w:hAnsi="PMingLiU"/>
          <w:sz w:val="24"/>
          <w:szCs w:val="24"/>
        </w:rPr>
      </w:pPr>
    </w:p>
    <w:p w14:paraId="436E542C" w14:textId="77777777" w:rsidR="006F30EC" w:rsidRDefault="006F30EC" w:rsidP="00604173">
      <w:pPr>
        <w:spacing w:line="295" w:lineRule="auto"/>
        <w:jc w:val="both"/>
        <w:rPr>
          <w:rFonts w:hAnsi="PMingLiU"/>
          <w:sz w:val="24"/>
          <w:szCs w:val="24"/>
        </w:rPr>
      </w:pPr>
    </w:p>
    <w:p w14:paraId="565ABEC3" w14:textId="624BDD7B" w:rsidR="00323918" w:rsidRDefault="00323918" w:rsidP="000D1623">
      <w:pPr>
        <w:spacing w:line="295" w:lineRule="auto"/>
        <w:ind w:left="290"/>
        <w:jc w:val="both"/>
        <w:rPr>
          <w:b/>
          <w:bCs/>
          <w:sz w:val="24"/>
          <w:szCs w:val="24"/>
        </w:rPr>
      </w:pPr>
      <w:r w:rsidRPr="00323918">
        <w:rPr>
          <w:b/>
          <w:bCs/>
          <w:sz w:val="24"/>
          <w:szCs w:val="24"/>
        </w:rPr>
        <w:t>認購股份之地</w:t>
      </w:r>
      <w:r w:rsidRPr="00323918">
        <w:rPr>
          <w:rFonts w:hint="eastAsia"/>
          <w:b/>
          <w:bCs/>
          <w:sz w:val="24"/>
          <w:szCs w:val="24"/>
        </w:rPr>
        <w:t>位</w:t>
      </w:r>
    </w:p>
    <w:p w14:paraId="7C69622A" w14:textId="77777777" w:rsidR="00323918" w:rsidRDefault="00323918" w:rsidP="000D1623">
      <w:pPr>
        <w:spacing w:line="295" w:lineRule="auto"/>
        <w:ind w:left="290"/>
        <w:jc w:val="both"/>
        <w:rPr>
          <w:b/>
          <w:bCs/>
          <w:sz w:val="24"/>
          <w:szCs w:val="24"/>
        </w:rPr>
      </w:pPr>
    </w:p>
    <w:p w14:paraId="694C26C0" w14:textId="7AB1F024" w:rsidR="00323918" w:rsidRDefault="00142142" w:rsidP="000D1623">
      <w:pPr>
        <w:spacing w:line="295" w:lineRule="auto"/>
        <w:ind w:left="290"/>
        <w:jc w:val="both"/>
        <w:rPr>
          <w:sz w:val="24"/>
          <w:szCs w:val="24"/>
        </w:rPr>
      </w:pPr>
      <w:r w:rsidRPr="00142142">
        <w:rPr>
          <w:sz w:val="24"/>
          <w:szCs w:val="24"/>
        </w:rPr>
        <w:t>認購股份一經配發及發行，彼此在各方面將享有同等地位，並與配發及發行認購股份當日已發行股份享有同等地位。</w:t>
      </w:r>
    </w:p>
    <w:p w14:paraId="11189D7D" w14:textId="77777777" w:rsidR="00142142" w:rsidRDefault="00142142" w:rsidP="000D1623">
      <w:pPr>
        <w:spacing w:line="295" w:lineRule="auto"/>
        <w:ind w:left="290"/>
        <w:jc w:val="both"/>
        <w:rPr>
          <w:sz w:val="24"/>
          <w:szCs w:val="24"/>
        </w:rPr>
      </w:pPr>
    </w:p>
    <w:p w14:paraId="6C1209A1" w14:textId="77777777" w:rsidR="006F30EC" w:rsidRDefault="006F30EC" w:rsidP="000D1623">
      <w:pPr>
        <w:spacing w:line="295" w:lineRule="auto"/>
        <w:ind w:left="290"/>
        <w:jc w:val="both"/>
        <w:rPr>
          <w:sz w:val="24"/>
          <w:szCs w:val="24"/>
        </w:rPr>
      </w:pPr>
    </w:p>
    <w:p w14:paraId="5C4F43F2" w14:textId="368A4191" w:rsidR="00142142" w:rsidRPr="000349B6" w:rsidRDefault="00142142" w:rsidP="000D1623">
      <w:pPr>
        <w:spacing w:line="295" w:lineRule="auto"/>
        <w:ind w:left="290"/>
        <w:jc w:val="both"/>
        <w:rPr>
          <w:rFonts w:hAnsi="PMingLiU"/>
          <w:b/>
          <w:bCs/>
          <w:sz w:val="24"/>
          <w:szCs w:val="24"/>
        </w:rPr>
      </w:pPr>
      <w:r w:rsidRPr="000349B6">
        <w:rPr>
          <w:b/>
          <w:bCs/>
          <w:sz w:val="24"/>
          <w:szCs w:val="24"/>
        </w:rPr>
        <w:t>認購事項之條</w:t>
      </w:r>
      <w:r w:rsidRPr="000349B6">
        <w:rPr>
          <w:rFonts w:hAnsi="PMingLiU" w:hint="eastAsia"/>
          <w:b/>
          <w:bCs/>
          <w:sz w:val="24"/>
          <w:szCs w:val="24"/>
        </w:rPr>
        <w:t>件</w:t>
      </w:r>
    </w:p>
    <w:p w14:paraId="7DC92284" w14:textId="77777777" w:rsidR="00142142" w:rsidRPr="000349B6" w:rsidRDefault="00142142" w:rsidP="000D1623">
      <w:pPr>
        <w:spacing w:line="295" w:lineRule="auto"/>
        <w:ind w:left="290"/>
        <w:jc w:val="both"/>
        <w:rPr>
          <w:b/>
          <w:bCs/>
          <w:sz w:val="24"/>
          <w:szCs w:val="24"/>
        </w:rPr>
      </w:pPr>
    </w:p>
    <w:p w14:paraId="4F7E48E6" w14:textId="77777777" w:rsidR="00142142" w:rsidRPr="000349B6" w:rsidRDefault="00142142" w:rsidP="000D1623">
      <w:pPr>
        <w:spacing w:line="295" w:lineRule="auto"/>
        <w:ind w:left="290"/>
        <w:jc w:val="both"/>
        <w:rPr>
          <w:sz w:val="24"/>
          <w:szCs w:val="24"/>
        </w:rPr>
      </w:pPr>
      <w:r w:rsidRPr="000349B6">
        <w:rPr>
          <w:sz w:val="24"/>
          <w:szCs w:val="24"/>
        </w:rPr>
        <w:t xml:space="preserve">完成須待下列條件獲達成或豁免（視乎情況而定）後，方可作實： </w:t>
      </w:r>
    </w:p>
    <w:p w14:paraId="7E60B804" w14:textId="77777777" w:rsidR="0039572A" w:rsidRDefault="0039572A" w:rsidP="000D1623">
      <w:pPr>
        <w:spacing w:line="295" w:lineRule="auto"/>
        <w:ind w:left="290"/>
        <w:jc w:val="both"/>
      </w:pPr>
    </w:p>
    <w:p w14:paraId="60055953" w14:textId="05DDF4DC" w:rsidR="00142142" w:rsidRDefault="00142142" w:rsidP="00142142">
      <w:pPr>
        <w:pStyle w:val="ListParagraph"/>
        <w:numPr>
          <w:ilvl w:val="0"/>
          <w:numId w:val="21"/>
        </w:numPr>
        <w:spacing w:line="295" w:lineRule="auto"/>
        <w:jc w:val="both"/>
      </w:pPr>
      <w:r>
        <w:t>聯交所上市委員會已批准認購股份上市及買賣，且有關批准於完成前並無被撤回；</w:t>
      </w:r>
      <w:r>
        <w:t xml:space="preserve"> </w:t>
      </w:r>
    </w:p>
    <w:p w14:paraId="16F3EBFC" w14:textId="77777777" w:rsidR="00142142" w:rsidRDefault="00142142" w:rsidP="00142142">
      <w:pPr>
        <w:pStyle w:val="ListParagraph"/>
        <w:spacing w:line="295" w:lineRule="auto"/>
        <w:ind w:left="650"/>
        <w:jc w:val="both"/>
      </w:pPr>
    </w:p>
    <w:p w14:paraId="4C7F3D6D" w14:textId="7D9D2CFC" w:rsidR="00142142" w:rsidRDefault="00142142" w:rsidP="00142142">
      <w:pPr>
        <w:pStyle w:val="ListParagraph"/>
        <w:numPr>
          <w:ilvl w:val="0"/>
          <w:numId w:val="21"/>
        </w:numPr>
        <w:spacing w:line="295" w:lineRule="auto"/>
        <w:jc w:val="both"/>
      </w:pPr>
      <w:r>
        <w:t>已獲得有關認購協議及其項下擬進行的交易的必要同意和批准；及</w:t>
      </w:r>
      <w:r>
        <w:t xml:space="preserve"> </w:t>
      </w:r>
    </w:p>
    <w:p w14:paraId="1F8204FE" w14:textId="77777777" w:rsidR="00142142" w:rsidRDefault="00142142" w:rsidP="00142142">
      <w:pPr>
        <w:pStyle w:val="ListParagraph"/>
      </w:pPr>
    </w:p>
    <w:p w14:paraId="71133CE6" w14:textId="2F075099" w:rsidR="00142142" w:rsidRDefault="00142142" w:rsidP="00142142">
      <w:pPr>
        <w:pStyle w:val="ListParagraph"/>
        <w:numPr>
          <w:ilvl w:val="0"/>
          <w:numId w:val="21"/>
        </w:numPr>
        <w:spacing w:line="295" w:lineRule="auto"/>
        <w:jc w:val="both"/>
      </w:pPr>
      <w:r>
        <w:t>本公司之聲明及保證於認購協議日期及完成日期就所有重大方面仍屬真實及準確，且並無誤導成分。</w:t>
      </w:r>
    </w:p>
    <w:p w14:paraId="0D1DFA79" w14:textId="77777777" w:rsidR="00F11374" w:rsidRPr="000349B6" w:rsidRDefault="00F11374" w:rsidP="00F11374">
      <w:pPr>
        <w:spacing w:line="295" w:lineRule="auto"/>
        <w:jc w:val="both"/>
        <w:rPr>
          <w:sz w:val="24"/>
          <w:szCs w:val="24"/>
        </w:rPr>
      </w:pPr>
    </w:p>
    <w:p w14:paraId="57F50A12" w14:textId="17569E6D" w:rsidR="007E044A" w:rsidRPr="000349B6" w:rsidRDefault="00F11374" w:rsidP="007213EC">
      <w:pPr>
        <w:pStyle w:val="BodyText"/>
        <w:spacing w:line="295" w:lineRule="auto"/>
        <w:ind w:left="290" w:right="221"/>
        <w:jc w:val="both"/>
        <w:rPr>
          <w:rFonts w:hAnsi="PMingLiU"/>
          <w:sz w:val="24"/>
          <w:szCs w:val="24"/>
        </w:rPr>
      </w:pPr>
      <w:r w:rsidRPr="000349B6">
        <w:rPr>
          <w:sz w:val="24"/>
          <w:szCs w:val="24"/>
        </w:rPr>
        <w:t>認購人可豁免任何條件，惟上述第(a)項條件不得由認購協議的任何一方豁免。倘條件未能於 202</w:t>
      </w:r>
      <w:r w:rsidR="001B48A3" w:rsidRPr="000349B6">
        <w:rPr>
          <w:sz w:val="24"/>
          <w:szCs w:val="24"/>
        </w:rPr>
        <w:t>4</w:t>
      </w:r>
      <w:r w:rsidRPr="000349B6">
        <w:rPr>
          <w:sz w:val="24"/>
          <w:szCs w:val="24"/>
        </w:rPr>
        <w:t xml:space="preserve"> 年 </w:t>
      </w:r>
      <w:r w:rsidR="001B48A3" w:rsidRPr="000349B6">
        <w:rPr>
          <w:sz w:val="24"/>
          <w:szCs w:val="24"/>
        </w:rPr>
        <w:t>6</w:t>
      </w:r>
      <w:r w:rsidRPr="000349B6">
        <w:rPr>
          <w:sz w:val="24"/>
          <w:szCs w:val="24"/>
        </w:rPr>
        <w:t xml:space="preserve"> 月 </w:t>
      </w:r>
      <w:r w:rsidR="001B48A3" w:rsidRPr="000349B6">
        <w:rPr>
          <w:sz w:val="24"/>
          <w:szCs w:val="24"/>
        </w:rPr>
        <w:t>30</w:t>
      </w:r>
      <w:r w:rsidRPr="000349B6">
        <w:rPr>
          <w:sz w:val="24"/>
          <w:szCs w:val="24"/>
        </w:rPr>
        <w:t xml:space="preserve"> 日（或訂約方可能以書面協定之有關其他日期）獲達成或豁免 （視乎情況而定），認購協議將自動終止並失效，且除先前發生的任何違約外，認購 協議的任何一方均不得就認購事項向另一方提出任何索償</w:t>
      </w:r>
      <w:r w:rsidRPr="000349B6">
        <w:rPr>
          <w:rFonts w:hAnsi="PMingLiU" w:hint="eastAsia"/>
          <w:sz w:val="24"/>
          <w:szCs w:val="24"/>
        </w:rPr>
        <w:t>。</w:t>
      </w:r>
    </w:p>
    <w:p w14:paraId="2B55FC2A" w14:textId="77777777" w:rsidR="007E044A" w:rsidRDefault="007E044A" w:rsidP="007213EC">
      <w:pPr>
        <w:pStyle w:val="BodyText"/>
        <w:spacing w:line="295" w:lineRule="auto"/>
        <w:ind w:left="290" w:right="221"/>
        <w:jc w:val="both"/>
        <w:rPr>
          <w:rFonts w:hAnsi="PMingLiU"/>
          <w:sz w:val="24"/>
          <w:szCs w:val="24"/>
        </w:rPr>
      </w:pPr>
    </w:p>
    <w:p w14:paraId="583E3692" w14:textId="77777777" w:rsidR="006F30EC" w:rsidRPr="000349B6" w:rsidRDefault="006F30EC" w:rsidP="007213EC">
      <w:pPr>
        <w:pStyle w:val="BodyText"/>
        <w:spacing w:line="295" w:lineRule="auto"/>
        <w:ind w:left="290" w:right="221"/>
        <w:jc w:val="both"/>
        <w:rPr>
          <w:rFonts w:hAnsi="PMingLiU"/>
          <w:sz w:val="24"/>
          <w:szCs w:val="24"/>
        </w:rPr>
      </w:pPr>
    </w:p>
    <w:p w14:paraId="45C2973C" w14:textId="77777777" w:rsidR="0086113C" w:rsidRPr="000349B6" w:rsidRDefault="007E044A" w:rsidP="007213EC">
      <w:pPr>
        <w:pStyle w:val="BodyText"/>
        <w:spacing w:line="295" w:lineRule="auto"/>
        <w:ind w:left="290" w:right="221"/>
        <w:jc w:val="both"/>
        <w:rPr>
          <w:rFonts w:hAnsi="PMingLiU"/>
          <w:b/>
          <w:bCs/>
          <w:sz w:val="24"/>
          <w:szCs w:val="24"/>
        </w:rPr>
      </w:pPr>
      <w:r w:rsidRPr="000349B6">
        <w:rPr>
          <w:b/>
          <w:bCs/>
          <w:sz w:val="24"/>
          <w:szCs w:val="24"/>
        </w:rPr>
        <w:t>完</w:t>
      </w:r>
      <w:r w:rsidRPr="000349B6">
        <w:rPr>
          <w:rFonts w:hAnsi="PMingLiU" w:hint="eastAsia"/>
          <w:b/>
          <w:bCs/>
          <w:sz w:val="24"/>
          <w:szCs w:val="24"/>
        </w:rPr>
        <w:t>成</w:t>
      </w:r>
    </w:p>
    <w:p w14:paraId="49B79813" w14:textId="77777777" w:rsidR="0086113C" w:rsidRPr="000349B6" w:rsidRDefault="0086113C" w:rsidP="007213EC">
      <w:pPr>
        <w:pStyle w:val="BodyText"/>
        <w:spacing w:line="295" w:lineRule="auto"/>
        <w:ind w:left="290" w:right="221"/>
        <w:jc w:val="both"/>
        <w:rPr>
          <w:rFonts w:ascii="Times New Roman" w:cs="Times New Roman"/>
          <w:b/>
          <w:bCs/>
          <w:color w:val="231F20"/>
          <w:sz w:val="24"/>
          <w:szCs w:val="24"/>
        </w:rPr>
      </w:pPr>
    </w:p>
    <w:p w14:paraId="035CD27F" w14:textId="77777777" w:rsidR="00FE2E42" w:rsidRDefault="000349B6" w:rsidP="00FE2E42">
      <w:pPr>
        <w:pStyle w:val="BodyText"/>
        <w:spacing w:line="295" w:lineRule="auto"/>
        <w:ind w:left="290" w:right="221"/>
        <w:jc w:val="both"/>
        <w:rPr>
          <w:rFonts w:hAnsi="PMingLiU"/>
          <w:sz w:val="24"/>
          <w:szCs w:val="24"/>
        </w:rPr>
      </w:pPr>
      <w:r w:rsidRPr="000349B6">
        <w:rPr>
          <w:sz w:val="24"/>
          <w:szCs w:val="24"/>
        </w:rPr>
        <w:t>認購事項將於上述條件達成之日起十個營業日內完成</w:t>
      </w:r>
      <w:r w:rsidRPr="000349B6">
        <w:rPr>
          <w:rFonts w:hAnsi="PMingLiU" w:hint="eastAsia"/>
          <w:sz w:val="24"/>
          <w:szCs w:val="24"/>
        </w:rPr>
        <w:t>。</w:t>
      </w:r>
    </w:p>
    <w:p w14:paraId="03E24F03" w14:textId="77777777" w:rsidR="00FE2E42" w:rsidRPr="005E23F4" w:rsidRDefault="00FE2E42" w:rsidP="00FE2E42">
      <w:pPr>
        <w:pStyle w:val="BodyText"/>
        <w:spacing w:line="295" w:lineRule="auto"/>
        <w:ind w:left="290" w:right="221"/>
        <w:jc w:val="both"/>
        <w:rPr>
          <w:sz w:val="24"/>
          <w:szCs w:val="24"/>
        </w:rPr>
      </w:pPr>
    </w:p>
    <w:p w14:paraId="668C22DB" w14:textId="1B04028B" w:rsidR="00AA2566" w:rsidRPr="005E23F4" w:rsidRDefault="00AA2566" w:rsidP="00FE2E42">
      <w:pPr>
        <w:pStyle w:val="BodyText"/>
        <w:spacing w:line="295" w:lineRule="auto"/>
        <w:ind w:left="290" w:right="221"/>
        <w:jc w:val="both"/>
        <w:rPr>
          <w:b/>
          <w:bCs/>
          <w:sz w:val="24"/>
          <w:szCs w:val="24"/>
        </w:rPr>
      </w:pPr>
      <w:r w:rsidRPr="005E23F4">
        <w:rPr>
          <w:b/>
          <w:bCs/>
          <w:sz w:val="24"/>
          <w:szCs w:val="24"/>
        </w:rPr>
        <w:t>認購事項之完成須待認購協議項下之條件達成後，方可作實。由於認購事項可能會或 可能不會進行，故股東及有意投資者於買賣股份時務請審慎行事</w:t>
      </w:r>
      <w:r w:rsidRPr="005E23F4">
        <w:rPr>
          <w:rFonts w:hint="eastAsia"/>
          <w:b/>
          <w:bCs/>
          <w:sz w:val="24"/>
          <w:szCs w:val="24"/>
        </w:rPr>
        <w:t>。</w:t>
      </w:r>
    </w:p>
    <w:p w14:paraId="5E080C82" w14:textId="77777777" w:rsidR="00604173" w:rsidRDefault="00604173" w:rsidP="00604173">
      <w:pPr>
        <w:pStyle w:val="BodyText"/>
        <w:spacing w:line="295" w:lineRule="auto"/>
        <w:ind w:right="221"/>
        <w:jc w:val="both"/>
        <w:rPr>
          <w:rFonts w:hAnsi="PMingLiU"/>
          <w:sz w:val="24"/>
          <w:szCs w:val="24"/>
        </w:rPr>
      </w:pPr>
    </w:p>
    <w:p w14:paraId="1F04A294" w14:textId="77777777" w:rsidR="006F30EC" w:rsidRDefault="006F30EC" w:rsidP="00604173">
      <w:pPr>
        <w:pStyle w:val="BodyText"/>
        <w:spacing w:line="295" w:lineRule="auto"/>
        <w:ind w:right="221"/>
        <w:jc w:val="both"/>
        <w:rPr>
          <w:rFonts w:hAnsi="PMingLiU"/>
          <w:sz w:val="24"/>
          <w:szCs w:val="24"/>
        </w:rPr>
      </w:pPr>
    </w:p>
    <w:p w14:paraId="641CA30A" w14:textId="77777777" w:rsidR="006F30EC" w:rsidRDefault="006F30EC" w:rsidP="00604173">
      <w:pPr>
        <w:pStyle w:val="BodyText"/>
        <w:spacing w:line="295" w:lineRule="auto"/>
        <w:ind w:right="221"/>
        <w:jc w:val="both"/>
        <w:rPr>
          <w:rFonts w:hAnsi="PMingLiU"/>
          <w:sz w:val="24"/>
          <w:szCs w:val="24"/>
        </w:rPr>
      </w:pPr>
    </w:p>
    <w:p w14:paraId="706ED4CF" w14:textId="77777777" w:rsidR="006F30EC" w:rsidRDefault="006F30EC" w:rsidP="00604173">
      <w:pPr>
        <w:pStyle w:val="BodyText"/>
        <w:spacing w:line="295" w:lineRule="auto"/>
        <w:ind w:right="221"/>
        <w:jc w:val="both"/>
        <w:rPr>
          <w:rFonts w:hAnsi="PMingLiU"/>
          <w:sz w:val="24"/>
          <w:szCs w:val="24"/>
        </w:rPr>
      </w:pPr>
    </w:p>
    <w:p w14:paraId="48F5FF71" w14:textId="77777777" w:rsidR="006F30EC" w:rsidRDefault="006F30EC" w:rsidP="00604173">
      <w:pPr>
        <w:pStyle w:val="BodyText"/>
        <w:spacing w:line="295" w:lineRule="auto"/>
        <w:ind w:right="221"/>
        <w:jc w:val="both"/>
        <w:rPr>
          <w:rFonts w:hAnsi="PMingLiU"/>
          <w:sz w:val="24"/>
          <w:szCs w:val="24"/>
        </w:rPr>
      </w:pPr>
    </w:p>
    <w:p w14:paraId="008E891F" w14:textId="77777777" w:rsidR="00CF54A6" w:rsidRPr="00596477" w:rsidRDefault="00CF54A6" w:rsidP="007213EC">
      <w:pPr>
        <w:pStyle w:val="BodyText"/>
        <w:spacing w:line="295" w:lineRule="auto"/>
        <w:ind w:left="290" w:right="221"/>
        <w:jc w:val="both"/>
        <w:rPr>
          <w:b/>
          <w:bCs/>
          <w:sz w:val="24"/>
          <w:szCs w:val="24"/>
        </w:rPr>
      </w:pPr>
      <w:r w:rsidRPr="00596477">
        <w:rPr>
          <w:b/>
          <w:bCs/>
          <w:sz w:val="24"/>
          <w:szCs w:val="24"/>
        </w:rPr>
        <w:t xml:space="preserve">一般授權 </w:t>
      </w:r>
    </w:p>
    <w:p w14:paraId="63E8609A" w14:textId="77777777" w:rsidR="00CF54A6" w:rsidRPr="00596477" w:rsidRDefault="00CF54A6" w:rsidP="007213EC">
      <w:pPr>
        <w:pStyle w:val="BodyText"/>
        <w:spacing w:line="295" w:lineRule="auto"/>
        <w:ind w:left="290" w:right="221"/>
        <w:jc w:val="both"/>
        <w:rPr>
          <w:sz w:val="24"/>
          <w:szCs w:val="24"/>
        </w:rPr>
      </w:pPr>
    </w:p>
    <w:p w14:paraId="4822EE2B" w14:textId="40E458A0" w:rsidR="006F30EC" w:rsidRDefault="00CF54A6" w:rsidP="00AC7DF5">
      <w:pPr>
        <w:pStyle w:val="BodyText"/>
        <w:spacing w:line="295" w:lineRule="auto"/>
        <w:ind w:left="290" w:right="221"/>
        <w:jc w:val="both"/>
        <w:rPr>
          <w:sz w:val="24"/>
          <w:szCs w:val="24"/>
        </w:rPr>
      </w:pPr>
      <w:r w:rsidRPr="00596477">
        <w:rPr>
          <w:sz w:val="24"/>
          <w:szCs w:val="24"/>
        </w:rPr>
        <w:t>認購股份將根據一般授權獲配發及發行。根據一般授權，本公司獲授權發行之新股份 總數為 7,136,</w:t>
      </w:r>
      <w:r w:rsidR="00B56F11" w:rsidRPr="00596477">
        <w:rPr>
          <w:sz w:val="24"/>
          <w:szCs w:val="24"/>
        </w:rPr>
        <w:t>272</w:t>
      </w:r>
      <w:r w:rsidR="00CD7A78" w:rsidRPr="00596477">
        <w:rPr>
          <w:sz w:val="24"/>
          <w:szCs w:val="24"/>
        </w:rPr>
        <w:t xml:space="preserve"> </w:t>
      </w:r>
      <w:r w:rsidRPr="00596477">
        <w:rPr>
          <w:sz w:val="24"/>
          <w:szCs w:val="24"/>
        </w:rPr>
        <w:t>股股份，相當於股東週年大會當日本公司已發行股本 20%。自本公司概無根據一般授權配發及發行新股份，發行認購股份無須獲股東批准。</w:t>
      </w:r>
    </w:p>
    <w:p w14:paraId="50091F26" w14:textId="77777777" w:rsidR="006F30EC" w:rsidRDefault="006F30EC" w:rsidP="00BB26C3">
      <w:pPr>
        <w:pStyle w:val="BodyText"/>
        <w:spacing w:line="295" w:lineRule="auto"/>
        <w:ind w:right="221"/>
        <w:jc w:val="both"/>
        <w:rPr>
          <w:sz w:val="24"/>
          <w:szCs w:val="24"/>
        </w:rPr>
      </w:pPr>
    </w:p>
    <w:p w14:paraId="20450779" w14:textId="77777777" w:rsidR="00AC7DF5" w:rsidRDefault="00AC7DF5" w:rsidP="00BB26C3">
      <w:pPr>
        <w:pStyle w:val="BodyText"/>
        <w:spacing w:line="295" w:lineRule="auto"/>
        <w:ind w:right="221"/>
        <w:jc w:val="both"/>
        <w:rPr>
          <w:sz w:val="24"/>
          <w:szCs w:val="24"/>
        </w:rPr>
      </w:pPr>
    </w:p>
    <w:p w14:paraId="35716E55" w14:textId="29CD20B7" w:rsidR="00BB26C3" w:rsidRPr="00E45C37" w:rsidRDefault="00BB26C3" w:rsidP="007213EC">
      <w:pPr>
        <w:pStyle w:val="BodyText"/>
        <w:spacing w:line="295" w:lineRule="auto"/>
        <w:ind w:left="290" w:right="221"/>
        <w:jc w:val="both"/>
        <w:rPr>
          <w:rFonts w:hAnsi="PMingLiU"/>
          <w:b/>
          <w:bCs/>
          <w:sz w:val="24"/>
          <w:szCs w:val="24"/>
        </w:rPr>
      </w:pPr>
      <w:r w:rsidRPr="00E45C37">
        <w:rPr>
          <w:b/>
          <w:bCs/>
          <w:sz w:val="24"/>
          <w:szCs w:val="24"/>
        </w:rPr>
        <w:t>認購股份申請上</w:t>
      </w:r>
      <w:r w:rsidRPr="00E45C37">
        <w:rPr>
          <w:rFonts w:hAnsi="PMingLiU" w:hint="eastAsia"/>
          <w:b/>
          <w:bCs/>
          <w:sz w:val="24"/>
          <w:szCs w:val="24"/>
        </w:rPr>
        <w:t>市</w:t>
      </w:r>
    </w:p>
    <w:p w14:paraId="4D1DB046" w14:textId="77777777" w:rsidR="00BB26C3" w:rsidRPr="00E45C37" w:rsidRDefault="00BB26C3" w:rsidP="007213EC">
      <w:pPr>
        <w:pStyle w:val="BodyText"/>
        <w:spacing w:line="295" w:lineRule="auto"/>
        <w:ind w:left="290" w:right="221"/>
        <w:jc w:val="both"/>
        <w:rPr>
          <w:b/>
          <w:bCs/>
          <w:sz w:val="24"/>
          <w:szCs w:val="24"/>
        </w:rPr>
      </w:pPr>
    </w:p>
    <w:p w14:paraId="5F6ED1C3" w14:textId="133C69E0" w:rsidR="006F30EC" w:rsidRDefault="00BB26C3" w:rsidP="00AC7DF5">
      <w:pPr>
        <w:pStyle w:val="BodyText"/>
        <w:spacing w:line="295" w:lineRule="auto"/>
        <w:ind w:left="290" w:right="221"/>
        <w:jc w:val="both"/>
        <w:rPr>
          <w:b/>
          <w:bCs/>
          <w:sz w:val="24"/>
          <w:szCs w:val="24"/>
        </w:rPr>
      </w:pPr>
      <w:r w:rsidRPr="00E45C37">
        <w:rPr>
          <w:sz w:val="24"/>
          <w:szCs w:val="24"/>
        </w:rPr>
        <w:t>本公司將向聯交所申請批准認購股份上市及買賣</w:t>
      </w:r>
      <w:r w:rsidRPr="00E45C37">
        <w:rPr>
          <w:rFonts w:hAnsi="PMingLiU" w:hint="eastAsia"/>
          <w:sz w:val="24"/>
          <w:szCs w:val="24"/>
        </w:rPr>
        <w:t>。</w:t>
      </w:r>
    </w:p>
    <w:p w14:paraId="67E7553F" w14:textId="77777777" w:rsidR="00AC7DF5" w:rsidRPr="00AC7DF5" w:rsidRDefault="00AC7DF5" w:rsidP="00AC7DF5">
      <w:pPr>
        <w:pStyle w:val="BodyText"/>
        <w:spacing w:line="295" w:lineRule="auto"/>
        <w:ind w:left="290" w:right="221"/>
        <w:jc w:val="both"/>
        <w:rPr>
          <w:b/>
          <w:bCs/>
          <w:sz w:val="24"/>
          <w:szCs w:val="24"/>
        </w:rPr>
      </w:pPr>
    </w:p>
    <w:p w14:paraId="5945D481" w14:textId="77777777" w:rsidR="00AC7DF5" w:rsidRDefault="00AC7DF5" w:rsidP="007213EC">
      <w:pPr>
        <w:pStyle w:val="BodyText"/>
        <w:spacing w:line="295" w:lineRule="auto"/>
        <w:ind w:left="290" w:right="221"/>
        <w:jc w:val="both"/>
      </w:pPr>
    </w:p>
    <w:p w14:paraId="2E2DC19E" w14:textId="7766D85E" w:rsidR="00AD649A" w:rsidRPr="006033BB" w:rsidRDefault="00AD649A" w:rsidP="007213EC">
      <w:pPr>
        <w:pStyle w:val="BodyText"/>
        <w:spacing w:line="295" w:lineRule="auto"/>
        <w:ind w:left="290" w:right="221"/>
        <w:jc w:val="both"/>
        <w:rPr>
          <w:b/>
          <w:bCs/>
          <w:sz w:val="24"/>
          <w:szCs w:val="24"/>
        </w:rPr>
      </w:pPr>
      <w:r w:rsidRPr="006033BB">
        <w:rPr>
          <w:b/>
          <w:bCs/>
          <w:sz w:val="24"/>
          <w:szCs w:val="24"/>
        </w:rPr>
        <w:t>本集團之資料</w:t>
      </w:r>
    </w:p>
    <w:p w14:paraId="226D171B" w14:textId="77777777" w:rsidR="00AD649A" w:rsidRPr="006033BB" w:rsidRDefault="00AD649A" w:rsidP="007213EC">
      <w:pPr>
        <w:pStyle w:val="BodyText"/>
        <w:spacing w:line="295" w:lineRule="auto"/>
        <w:ind w:left="290" w:right="221"/>
        <w:jc w:val="both"/>
        <w:rPr>
          <w:b/>
          <w:bCs/>
          <w:sz w:val="24"/>
          <w:szCs w:val="24"/>
        </w:rPr>
      </w:pPr>
    </w:p>
    <w:p w14:paraId="2BC69F0A" w14:textId="486D51C1" w:rsidR="00AD649A" w:rsidRDefault="00AD649A" w:rsidP="007213EC">
      <w:pPr>
        <w:pStyle w:val="BodyText"/>
        <w:spacing w:line="295" w:lineRule="auto"/>
        <w:ind w:left="290" w:right="221"/>
        <w:jc w:val="both"/>
        <w:rPr>
          <w:rFonts w:hAnsi="PMingLiU"/>
          <w:sz w:val="24"/>
          <w:szCs w:val="24"/>
        </w:rPr>
      </w:pPr>
      <w:r w:rsidRPr="006033BB">
        <w:rPr>
          <w:sz w:val="24"/>
          <w:szCs w:val="24"/>
        </w:rPr>
        <w:t>本公司為一間投資控股公司及其附屬公司主要從事 (i) 提供企業融資顧問服務、配售及包銷服 務、及資產管理服務的持牌業務； 和 (ii) 在香港提供環境、社會及管治諮詢服務、商業諮詢服 務、公司秘書服務、會計及稅務服務、風險管理及內部監控諮詢服務及人力資源服務的非持牌業務</w:t>
      </w:r>
      <w:r w:rsidRPr="006033BB">
        <w:rPr>
          <w:rFonts w:hAnsi="PMingLiU" w:hint="eastAsia"/>
          <w:sz w:val="24"/>
          <w:szCs w:val="24"/>
        </w:rPr>
        <w:t>。</w:t>
      </w:r>
    </w:p>
    <w:p w14:paraId="1D31A103" w14:textId="77777777" w:rsidR="00444247" w:rsidRDefault="00444247" w:rsidP="00AC7DF5">
      <w:pPr>
        <w:pStyle w:val="BodyText"/>
        <w:spacing w:line="295" w:lineRule="auto"/>
        <w:ind w:right="221"/>
        <w:jc w:val="both"/>
        <w:rPr>
          <w:rFonts w:hAnsi="PMingLiU"/>
          <w:b/>
          <w:bCs/>
          <w:sz w:val="24"/>
          <w:szCs w:val="24"/>
        </w:rPr>
      </w:pPr>
    </w:p>
    <w:p w14:paraId="0FF5B2D1" w14:textId="77777777" w:rsidR="00AC7DF5" w:rsidRPr="00444247" w:rsidRDefault="00AC7DF5" w:rsidP="00AC7DF5">
      <w:pPr>
        <w:pStyle w:val="BodyText"/>
        <w:spacing w:line="295" w:lineRule="auto"/>
        <w:ind w:right="221"/>
        <w:jc w:val="both"/>
        <w:rPr>
          <w:rFonts w:hAnsi="PMingLiU"/>
          <w:b/>
          <w:bCs/>
          <w:sz w:val="24"/>
          <w:szCs w:val="24"/>
        </w:rPr>
      </w:pPr>
    </w:p>
    <w:p w14:paraId="123F1965" w14:textId="3908190D" w:rsidR="00444247" w:rsidRPr="00563DF4" w:rsidRDefault="00444247" w:rsidP="007213EC">
      <w:pPr>
        <w:pStyle w:val="BodyText"/>
        <w:spacing w:line="295" w:lineRule="auto"/>
        <w:ind w:left="290" w:right="221"/>
        <w:jc w:val="both"/>
        <w:rPr>
          <w:b/>
          <w:bCs/>
          <w:sz w:val="24"/>
          <w:szCs w:val="24"/>
        </w:rPr>
      </w:pPr>
      <w:r w:rsidRPr="00563DF4">
        <w:rPr>
          <w:b/>
          <w:bCs/>
          <w:sz w:val="24"/>
          <w:szCs w:val="24"/>
        </w:rPr>
        <w:t>認購人之資</w:t>
      </w:r>
      <w:r w:rsidRPr="00563DF4">
        <w:rPr>
          <w:rFonts w:hint="eastAsia"/>
          <w:b/>
          <w:bCs/>
          <w:sz w:val="24"/>
          <w:szCs w:val="24"/>
        </w:rPr>
        <w:t>料</w:t>
      </w:r>
    </w:p>
    <w:p w14:paraId="2B0C2FAE" w14:textId="77777777" w:rsidR="00444247" w:rsidRDefault="00444247" w:rsidP="007213EC">
      <w:pPr>
        <w:pStyle w:val="BodyText"/>
        <w:spacing w:line="295" w:lineRule="auto"/>
        <w:ind w:left="290" w:right="221"/>
        <w:jc w:val="both"/>
        <w:rPr>
          <w:rFonts w:hAnsi="PMingLiU"/>
          <w:b/>
          <w:bCs/>
          <w:sz w:val="24"/>
          <w:szCs w:val="24"/>
        </w:rPr>
      </w:pPr>
    </w:p>
    <w:p w14:paraId="58FCD04F" w14:textId="5C97E8FB" w:rsidR="00563DF4" w:rsidRDefault="00563DF4" w:rsidP="00563DF4">
      <w:pPr>
        <w:spacing w:line="295" w:lineRule="auto"/>
        <w:ind w:firstLine="290"/>
        <w:jc w:val="both"/>
        <w:rPr>
          <w:rFonts w:ascii="Times New Roman" w:eastAsiaTheme="minorEastAsia" w:cs="Times New Roman"/>
          <w:sz w:val="24"/>
          <w:szCs w:val="24"/>
        </w:rPr>
      </w:pPr>
      <w:r w:rsidRPr="005A4872">
        <w:rPr>
          <w:rFonts w:ascii="Times New Roman" w:eastAsiaTheme="minorEastAsia" w:cs="Times New Roman"/>
          <w:sz w:val="24"/>
          <w:szCs w:val="24"/>
        </w:rPr>
        <w:t>認購人</w:t>
      </w:r>
      <w:r w:rsidRPr="005A4872">
        <w:rPr>
          <w:rFonts w:ascii="Times New Roman" w:eastAsiaTheme="minorEastAsia" w:cs="Times New Roman" w:hint="eastAsia"/>
          <w:sz w:val="24"/>
          <w:szCs w:val="24"/>
        </w:rPr>
        <w:t>甘仿</w:t>
      </w:r>
      <w:r w:rsidR="00C855C3" w:rsidRPr="00C855C3">
        <w:rPr>
          <w:rFonts w:ascii="Times New Roman" w:eastAsiaTheme="minorEastAsia" w:cs="Times New Roman" w:hint="eastAsia"/>
          <w:sz w:val="24"/>
          <w:szCs w:val="24"/>
        </w:rPr>
        <w:t>倫</w:t>
      </w:r>
      <w:r w:rsidRPr="00CB461B">
        <w:rPr>
          <w:rFonts w:ascii="Times New Roman" w:eastAsiaTheme="minorEastAsia" w:cs="Times New Roman"/>
          <w:sz w:val="24"/>
          <w:szCs w:val="24"/>
        </w:rPr>
        <w:t>先</w:t>
      </w:r>
      <w:r w:rsidRPr="00CB461B">
        <w:rPr>
          <w:rFonts w:ascii="Times New Roman" w:eastAsiaTheme="minorEastAsia" w:cs="Times New Roman" w:hint="eastAsia"/>
          <w:sz w:val="24"/>
          <w:szCs w:val="24"/>
        </w:rPr>
        <w:t>生為企業主及香港及中國資本市場的投資者</w:t>
      </w:r>
      <w:r w:rsidRPr="00E515BB">
        <w:rPr>
          <w:rFonts w:ascii="Times New Roman" w:eastAsiaTheme="minorEastAsia" w:cs="Times New Roman" w:hint="eastAsia"/>
          <w:sz w:val="24"/>
          <w:szCs w:val="24"/>
        </w:rPr>
        <w:t>。</w:t>
      </w:r>
    </w:p>
    <w:p w14:paraId="65CC7276" w14:textId="77777777" w:rsidR="006F30EC" w:rsidRDefault="006F30EC" w:rsidP="00AC7DF5">
      <w:pPr>
        <w:pStyle w:val="BodyText"/>
        <w:spacing w:line="295" w:lineRule="auto"/>
        <w:ind w:right="221"/>
        <w:jc w:val="both"/>
        <w:rPr>
          <w:rFonts w:hAnsi="PMingLiU"/>
          <w:b/>
          <w:bCs/>
          <w:sz w:val="24"/>
          <w:szCs w:val="24"/>
        </w:rPr>
      </w:pPr>
    </w:p>
    <w:p w14:paraId="3CF4368C" w14:textId="77777777" w:rsidR="00AC7DF5" w:rsidRPr="00444247" w:rsidRDefault="00AC7DF5" w:rsidP="00AC7DF5">
      <w:pPr>
        <w:pStyle w:val="BodyText"/>
        <w:spacing w:line="295" w:lineRule="auto"/>
        <w:ind w:right="221"/>
        <w:jc w:val="both"/>
        <w:rPr>
          <w:rFonts w:hAnsi="PMingLiU"/>
          <w:b/>
          <w:bCs/>
          <w:sz w:val="24"/>
          <w:szCs w:val="24"/>
        </w:rPr>
      </w:pPr>
    </w:p>
    <w:p w14:paraId="39C741E4" w14:textId="6C2EC776" w:rsidR="000349B6" w:rsidRPr="00B502E2" w:rsidRDefault="00E4605A" w:rsidP="007213EC">
      <w:pPr>
        <w:pStyle w:val="BodyText"/>
        <w:spacing w:line="295" w:lineRule="auto"/>
        <w:ind w:left="290" w:right="221"/>
        <w:jc w:val="both"/>
        <w:rPr>
          <w:rFonts w:hAnsi="PMingLiU"/>
          <w:b/>
          <w:bCs/>
          <w:sz w:val="24"/>
          <w:szCs w:val="24"/>
        </w:rPr>
      </w:pPr>
      <w:r w:rsidRPr="00B502E2">
        <w:rPr>
          <w:b/>
          <w:bCs/>
          <w:sz w:val="24"/>
          <w:szCs w:val="24"/>
        </w:rPr>
        <w:t>進行認購事項之理由及所得款項用</w:t>
      </w:r>
      <w:r w:rsidRPr="00B502E2">
        <w:rPr>
          <w:rFonts w:hAnsi="PMingLiU" w:hint="eastAsia"/>
          <w:b/>
          <w:bCs/>
          <w:sz w:val="24"/>
          <w:szCs w:val="24"/>
        </w:rPr>
        <w:t>途</w:t>
      </w:r>
    </w:p>
    <w:p w14:paraId="7CA8249F" w14:textId="77777777" w:rsidR="00E4605A" w:rsidRPr="00433141" w:rsidRDefault="00E4605A" w:rsidP="00433141">
      <w:pPr>
        <w:spacing w:line="295" w:lineRule="auto"/>
        <w:ind w:firstLine="290"/>
        <w:jc w:val="both"/>
        <w:rPr>
          <w:rFonts w:ascii="Times New Roman" w:eastAsiaTheme="minorEastAsia" w:cs="Times New Roman"/>
          <w:sz w:val="24"/>
          <w:szCs w:val="24"/>
        </w:rPr>
      </w:pPr>
    </w:p>
    <w:p w14:paraId="238CA255" w14:textId="77777777" w:rsidR="000C023B" w:rsidRDefault="00E4605A" w:rsidP="00FE2B47">
      <w:pPr>
        <w:spacing w:line="295" w:lineRule="auto"/>
        <w:ind w:left="290"/>
        <w:jc w:val="both"/>
        <w:rPr>
          <w:rFonts w:ascii="Times New Roman" w:eastAsiaTheme="minorEastAsia" w:cs="Times New Roman"/>
          <w:sz w:val="24"/>
          <w:szCs w:val="24"/>
        </w:rPr>
      </w:pPr>
      <w:r w:rsidRPr="00433141">
        <w:rPr>
          <w:rFonts w:ascii="Times New Roman" w:eastAsiaTheme="minorEastAsia" w:cs="Times New Roman"/>
          <w:sz w:val="24"/>
          <w:szCs w:val="24"/>
        </w:rPr>
        <w:t>認購事項所得款項將為</w:t>
      </w:r>
      <w:r w:rsidRPr="00433141">
        <w:rPr>
          <w:rFonts w:ascii="Times New Roman" w:eastAsiaTheme="minorEastAsia" w:cs="Times New Roman"/>
          <w:sz w:val="24"/>
          <w:szCs w:val="24"/>
        </w:rPr>
        <w:t xml:space="preserve"> </w:t>
      </w:r>
      <w:r w:rsidR="00FB5089" w:rsidRPr="00433141">
        <w:rPr>
          <w:rFonts w:ascii="Times New Roman" w:eastAsiaTheme="minorEastAsia" w:cs="Times New Roman"/>
          <w:sz w:val="24"/>
          <w:szCs w:val="24"/>
        </w:rPr>
        <w:t>9,990,400</w:t>
      </w:r>
      <w:r w:rsidRPr="00433141">
        <w:rPr>
          <w:rFonts w:ascii="Times New Roman" w:eastAsiaTheme="minorEastAsia" w:cs="Times New Roman"/>
          <w:sz w:val="24"/>
          <w:szCs w:val="24"/>
        </w:rPr>
        <w:t xml:space="preserve"> </w:t>
      </w:r>
      <w:r w:rsidRPr="00433141">
        <w:rPr>
          <w:rFonts w:ascii="Times New Roman" w:eastAsiaTheme="minorEastAsia" w:cs="Times New Roman"/>
          <w:sz w:val="24"/>
          <w:szCs w:val="24"/>
        </w:rPr>
        <w:t>港元。本公司擬將認購事項所得款項作為本集團之一</w:t>
      </w:r>
      <w:r w:rsidRPr="00433141">
        <w:rPr>
          <w:rFonts w:ascii="Times New Roman" w:eastAsiaTheme="minorEastAsia" w:cs="Times New Roman"/>
          <w:sz w:val="24"/>
          <w:szCs w:val="24"/>
        </w:rPr>
        <w:t xml:space="preserve"> </w:t>
      </w:r>
      <w:r w:rsidRPr="00433141">
        <w:rPr>
          <w:rFonts w:ascii="Times New Roman" w:eastAsiaTheme="minorEastAsia" w:cs="Times New Roman"/>
          <w:sz w:val="24"/>
          <w:szCs w:val="24"/>
        </w:rPr>
        <w:t>般營運資金。</w:t>
      </w:r>
      <w:r w:rsidRPr="00433141">
        <w:rPr>
          <w:rFonts w:ascii="Times New Roman" w:eastAsiaTheme="minorEastAsia" w:cs="Times New Roman"/>
          <w:sz w:val="24"/>
          <w:szCs w:val="24"/>
        </w:rPr>
        <w:t xml:space="preserve"> </w:t>
      </w:r>
    </w:p>
    <w:p w14:paraId="5941A596" w14:textId="77777777" w:rsidR="000C023B" w:rsidRDefault="000C023B" w:rsidP="00FE2B47">
      <w:pPr>
        <w:spacing w:line="295" w:lineRule="auto"/>
        <w:ind w:left="290"/>
        <w:jc w:val="both"/>
        <w:rPr>
          <w:rFonts w:ascii="Times New Roman" w:eastAsiaTheme="minorEastAsia" w:cs="Times New Roman"/>
          <w:sz w:val="24"/>
          <w:szCs w:val="24"/>
        </w:rPr>
      </w:pPr>
    </w:p>
    <w:p w14:paraId="211ACEAD" w14:textId="653C66D3" w:rsidR="00E4605A" w:rsidRPr="00FE2B47" w:rsidRDefault="00E4605A" w:rsidP="00FE2B47">
      <w:pPr>
        <w:spacing w:line="295" w:lineRule="auto"/>
        <w:ind w:left="290"/>
        <w:jc w:val="both"/>
        <w:rPr>
          <w:rFonts w:ascii="Times New Roman" w:eastAsiaTheme="minorEastAsia" w:cs="Times New Roman"/>
          <w:sz w:val="24"/>
          <w:szCs w:val="24"/>
        </w:rPr>
      </w:pPr>
      <w:r w:rsidRPr="00433141">
        <w:rPr>
          <w:rFonts w:ascii="Times New Roman" w:eastAsiaTheme="minorEastAsia" w:cs="Times New Roman"/>
          <w:sz w:val="24"/>
          <w:szCs w:val="24"/>
        </w:rPr>
        <w:t>董事認為，認購協議之條款及條件（包括認購價）乃經公平</w:t>
      </w:r>
      <w:r w:rsidRPr="00433141">
        <w:rPr>
          <w:rFonts w:ascii="Times New Roman" w:eastAsiaTheme="minorEastAsia" w:cs="Times New Roman"/>
          <w:sz w:val="24"/>
          <w:szCs w:val="24"/>
        </w:rPr>
        <w:t xml:space="preserve"> </w:t>
      </w:r>
      <w:r w:rsidRPr="00433141">
        <w:rPr>
          <w:rFonts w:ascii="Times New Roman" w:eastAsiaTheme="minorEastAsia" w:cs="Times New Roman"/>
          <w:sz w:val="24"/>
          <w:szCs w:val="24"/>
        </w:rPr>
        <w:t>磋商後按一般商業條款訂立且其條款屬公平合理，並符合本公司及股東的整體利益。</w:t>
      </w:r>
    </w:p>
    <w:p w14:paraId="2EB837AE" w14:textId="77777777" w:rsidR="00E4605A" w:rsidRDefault="00E4605A" w:rsidP="007213EC">
      <w:pPr>
        <w:pStyle w:val="BodyText"/>
        <w:spacing w:line="295" w:lineRule="auto"/>
        <w:ind w:left="290" w:right="221"/>
        <w:jc w:val="both"/>
        <w:rPr>
          <w:rFonts w:ascii="Times New Roman" w:cs="Times New Roman"/>
          <w:b/>
          <w:bCs/>
          <w:color w:val="231F20"/>
        </w:rPr>
      </w:pPr>
    </w:p>
    <w:p w14:paraId="6DB12CC2" w14:textId="77777777" w:rsidR="00AC7DF5" w:rsidRDefault="00AC7DF5" w:rsidP="007213EC">
      <w:pPr>
        <w:pStyle w:val="BodyText"/>
        <w:spacing w:line="295" w:lineRule="auto"/>
        <w:ind w:left="290" w:right="221"/>
        <w:jc w:val="both"/>
        <w:rPr>
          <w:rFonts w:ascii="Times New Roman" w:cs="Times New Roman"/>
          <w:b/>
          <w:bCs/>
          <w:color w:val="231F20"/>
        </w:rPr>
      </w:pPr>
    </w:p>
    <w:p w14:paraId="7620E415" w14:textId="77777777" w:rsidR="00AC7DF5" w:rsidRDefault="00AC7DF5" w:rsidP="007213EC">
      <w:pPr>
        <w:pStyle w:val="BodyText"/>
        <w:spacing w:line="295" w:lineRule="auto"/>
        <w:ind w:left="290" w:right="221"/>
        <w:jc w:val="both"/>
        <w:rPr>
          <w:rFonts w:ascii="Times New Roman" w:cs="Times New Roman"/>
          <w:b/>
          <w:bCs/>
          <w:color w:val="231F20"/>
        </w:rPr>
      </w:pPr>
    </w:p>
    <w:p w14:paraId="75D53E68" w14:textId="77777777" w:rsidR="00AC7DF5" w:rsidRDefault="00AC7DF5" w:rsidP="007213EC">
      <w:pPr>
        <w:pStyle w:val="BodyText"/>
        <w:spacing w:line="295" w:lineRule="auto"/>
        <w:ind w:left="290" w:right="221"/>
        <w:jc w:val="both"/>
        <w:rPr>
          <w:rFonts w:ascii="Times New Roman" w:cs="Times New Roman"/>
          <w:b/>
          <w:bCs/>
          <w:color w:val="231F20"/>
        </w:rPr>
      </w:pPr>
    </w:p>
    <w:p w14:paraId="66F20F5C" w14:textId="77777777" w:rsidR="00AC7DF5" w:rsidRDefault="00AC7DF5" w:rsidP="007213EC">
      <w:pPr>
        <w:pStyle w:val="BodyText"/>
        <w:spacing w:line="295" w:lineRule="auto"/>
        <w:ind w:left="290" w:right="221"/>
        <w:jc w:val="both"/>
        <w:rPr>
          <w:rFonts w:ascii="Times New Roman" w:cs="Times New Roman"/>
          <w:b/>
          <w:bCs/>
          <w:color w:val="231F20"/>
        </w:rPr>
      </w:pPr>
    </w:p>
    <w:p w14:paraId="0E6AC8D1" w14:textId="77777777" w:rsidR="00AC7DF5" w:rsidRDefault="00AC7DF5" w:rsidP="00041327">
      <w:pPr>
        <w:pStyle w:val="BodyText"/>
        <w:spacing w:line="295" w:lineRule="auto"/>
        <w:ind w:right="221"/>
        <w:jc w:val="both"/>
        <w:rPr>
          <w:rFonts w:ascii="Times New Roman" w:cs="Times New Roman"/>
          <w:b/>
          <w:bCs/>
          <w:color w:val="231F20"/>
        </w:rPr>
      </w:pPr>
    </w:p>
    <w:p w14:paraId="6C6635A9" w14:textId="77777777" w:rsidR="006F30EC" w:rsidRDefault="006F30EC" w:rsidP="007213EC">
      <w:pPr>
        <w:pStyle w:val="BodyText"/>
        <w:spacing w:line="295" w:lineRule="auto"/>
        <w:ind w:left="290" w:right="221"/>
        <w:jc w:val="both"/>
        <w:rPr>
          <w:rFonts w:ascii="Times New Roman" w:cs="Times New Roman"/>
          <w:b/>
          <w:bCs/>
          <w:color w:val="231F20"/>
        </w:rPr>
      </w:pPr>
    </w:p>
    <w:p w14:paraId="10826EB6" w14:textId="67D33F06" w:rsidR="008B1948" w:rsidRPr="00444247" w:rsidRDefault="008B1948" w:rsidP="007213EC">
      <w:pPr>
        <w:pStyle w:val="BodyText"/>
        <w:spacing w:line="295" w:lineRule="auto"/>
        <w:ind w:left="290" w:right="221"/>
        <w:jc w:val="both"/>
        <w:rPr>
          <w:rFonts w:hAnsi="PMingLiU"/>
          <w:b/>
          <w:bCs/>
          <w:sz w:val="24"/>
          <w:szCs w:val="24"/>
        </w:rPr>
      </w:pPr>
      <w:r w:rsidRPr="00444247">
        <w:rPr>
          <w:b/>
          <w:bCs/>
          <w:sz w:val="24"/>
          <w:szCs w:val="24"/>
        </w:rPr>
        <w:t>認購股份申請上</w:t>
      </w:r>
      <w:r w:rsidRPr="00444247">
        <w:rPr>
          <w:rFonts w:hAnsi="PMingLiU" w:hint="eastAsia"/>
          <w:b/>
          <w:bCs/>
          <w:sz w:val="24"/>
          <w:szCs w:val="24"/>
        </w:rPr>
        <w:t>市</w:t>
      </w:r>
    </w:p>
    <w:p w14:paraId="389E1A75" w14:textId="77777777" w:rsidR="000C3515" w:rsidRPr="00444247" w:rsidRDefault="000C3515" w:rsidP="007213EC">
      <w:pPr>
        <w:pStyle w:val="BodyText"/>
        <w:spacing w:line="295" w:lineRule="auto"/>
        <w:ind w:left="290" w:right="221"/>
        <w:jc w:val="both"/>
        <w:rPr>
          <w:rFonts w:ascii="Times New Roman" w:cs="Times New Roman"/>
          <w:b/>
          <w:bCs/>
          <w:color w:val="231F20"/>
          <w:sz w:val="24"/>
          <w:szCs w:val="24"/>
        </w:rPr>
      </w:pPr>
    </w:p>
    <w:p w14:paraId="0AED06AE" w14:textId="0E017F44" w:rsidR="000C3515" w:rsidRDefault="00AD649A" w:rsidP="007213EC">
      <w:pPr>
        <w:pStyle w:val="BodyText"/>
        <w:spacing w:line="295" w:lineRule="auto"/>
        <w:ind w:left="290" w:right="221"/>
        <w:jc w:val="both"/>
        <w:rPr>
          <w:rFonts w:hAnsi="PMingLiU"/>
          <w:sz w:val="24"/>
          <w:szCs w:val="24"/>
        </w:rPr>
      </w:pPr>
      <w:r w:rsidRPr="00444247">
        <w:rPr>
          <w:sz w:val="24"/>
          <w:szCs w:val="24"/>
        </w:rPr>
        <w:t xml:space="preserve">於本公告日期，本公司已發行股份為 </w:t>
      </w:r>
      <w:r w:rsidR="006C26C0">
        <w:rPr>
          <w:sz w:val="24"/>
          <w:szCs w:val="24"/>
        </w:rPr>
        <w:t>35,681,360</w:t>
      </w:r>
      <w:r w:rsidRPr="00444247">
        <w:rPr>
          <w:sz w:val="24"/>
          <w:szCs w:val="24"/>
        </w:rPr>
        <w:t xml:space="preserve"> 股。下表載列本公司</w:t>
      </w:r>
      <w:r w:rsidR="00C83526">
        <w:rPr>
          <w:rFonts w:hint="eastAsia"/>
          <w:sz w:val="24"/>
          <w:szCs w:val="24"/>
        </w:rPr>
        <w:t xml:space="preserve"> </w:t>
      </w:r>
      <w:r w:rsidRPr="00444247">
        <w:rPr>
          <w:sz w:val="24"/>
          <w:szCs w:val="24"/>
        </w:rPr>
        <w:t>(i)</w:t>
      </w:r>
      <w:r w:rsidR="00C83526">
        <w:rPr>
          <w:sz w:val="24"/>
          <w:szCs w:val="24"/>
        </w:rPr>
        <w:t xml:space="preserve"> </w:t>
      </w:r>
      <w:r w:rsidRPr="00444247">
        <w:rPr>
          <w:sz w:val="24"/>
          <w:szCs w:val="24"/>
        </w:rPr>
        <w:t>於本公告日期；及</w:t>
      </w:r>
      <w:r w:rsidR="00C83526">
        <w:rPr>
          <w:rFonts w:hint="eastAsia"/>
          <w:sz w:val="24"/>
          <w:szCs w:val="24"/>
        </w:rPr>
        <w:t xml:space="preserve"> </w:t>
      </w:r>
      <w:r w:rsidRPr="00444247">
        <w:rPr>
          <w:sz w:val="24"/>
          <w:szCs w:val="24"/>
        </w:rPr>
        <w:t>(ii)緊隨完成後（假設除發行認購股份外，自本公告日期起至完成日期，本公司已發行股份總數並無變動）之股權架構</w:t>
      </w:r>
      <w:r w:rsidRPr="00444247">
        <w:rPr>
          <w:rFonts w:hAnsi="PMingLiU" w:hint="eastAsia"/>
          <w:sz w:val="24"/>
          <w:szCs w:val="24"/>
        </w:rPr>
        <w:t>：</w:t>
      </w:r>
    </w:p>
    <w:p w14:paraId="6C676BA7" w14:textId="77777777" w:rsidR="00C83526" w:rsidRDefault="00C83526" w:rsidP="007213EC">
      <w:pPr>
        <w:pStyle w:val="BodyText"/>
        <w:spacing w:line="295" w:lineRule="auto"/>
        <w:ind w:left="290" w:right="221"/>
        <w:jc w:val="both"/>
        <w:rPr>
          <w:rFonts w:ascii="Times New Roman" w:cs="Times New Roman"/>
          <w:b/>
          <w:bCs/>
          <w:color w:val="231F20"/>
          <w:sz w:val="24"/>
          <w:szCs w:val="24"/>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9"/>
        <w:gridCol w:w="781"/>
      </w:tblGrid>
      <w:tr w:rsidR="00C83526" w:rsidRPr="00FB48FC" w14:paraId="745F1276" w14:textId="77777777" w:rsidTr="00234616">
        <w:trPr>
          <w:trHeight w:val="663"/>
        </w:trPr>
        <w:tc>
          <w:tcPr>
            <w:tcW w:w="9569" w:type="dxa"/>
          </w:tcPr>
          <w:tbl>
            <w:tblPr>
              <w:tblW w:w="9353" w:type="dxa"/>
              <w:tblLook w:val="04A0" w:firstRow="1" w:lastRow="0" w:firstColumn="1" w:lastColumn="0" w:noHBand="0" w:noVBand="1"/>
            </w:tblPr>
            <w:tblGrid>
              <w:gridCol w:w="1897"/>
              <w:gridCol w:w="1523"/>
              <w:gridCol w:w="275"/>
              <w:gridCol w:w="1595"/>
              <w:gridCol w:w="596"/>
              <w:gridCol w:w="34"/>
              <w:gridCol w:w="1113"/>
              <w:gridCol w:w="353"/>
              <w:gridCol w:w="244"/>
              <w:gridCol w:w="180"/>
              <w:gridCol w:w="1190"/>
              <w:gridCol w:w="353"/>
            </w:tblGrid>
            <w:tr w:rsidR="00C83526" w:rsidRPr="00EC7385" w14:paraId="5858B78F" w14:textId="77777777" w:rsidTr="000C023B">
              <w:trPr>
                <w:trHeight w:val="310"/>
              </w:trPr>
              <w:tc>
                <w:tcPr>
                  <w:tcW w:w="1897" w:type="dxa"/>
                  <w:vMerge w:val="restart"/>
                  <w:tcBorders>
                    <w:top w:val="nil"/>
                    <w:left w:val="nil"/>
                    <w:bottom w:val="nil"/>
                    <w:right w:val="nil"/>
                  </w:tcBorders>
                  <w:shd w:val="clear" w:color="auto" w:fill="auto"/>
                  <w:vAlign w:val="center"/>
                  <w:hideMark/>
                </w:tcPr>
                <w:p w14:paraId="2EF1F253" w14:textId="77777777" w:rsidR="00C83526" w:rsidRPr="00EC7385" w:rsidRDefault="00C83526" w:rsidP="00334DC8">
                  <w:pPr>
                    <w:widowControl/>
                    <w:autoSpaceDE/>
                    <w:autoSpaceDN/>
                    <w:rPr>
                      <w:sz w:val="24"/>
                      <w:szCs w:val="24"/>
                    </w:rPr>
                  </w:pPr>
                </w:p>
              </w:tc>
              <w:tc>
                <w:tcPr>
                  <w:tcW w:w="3393" w:type="dxa"/>
                  <w:gridSpan w:val="3"/>
                  <w:vMerge w:val="restart"/>
                  <w:tcBorders>
                    <w:top w:val="nil"/>
                    <w:left w:val="nil"/>
                    <w:bottom w:val="nil"/>
                    <w:right w:val="nil"/>
                  </w:tcBorders>
                  <w:shd w:val="clear" w:color="auto" w:fill="auto"/>
                  <w:vAlign w:val="center"/>
                  <w:hideMark/>
                </w:tcPr>
                <w:p w14:paraId="12EA137A" w14:textId="2B65F5CD" w:rsidR="00C83526" w:rsidRPr="00EC7385" w:rsidRDefault="005350DC" w:rsidP="00334DC8">
                  <w:pPr>
                    <w:widowControl/>
                    <w:autoSpaceDE/>
                    <w:autoSpaceDN/>
                    <w:jc w:val="center"/>
                    <w:rPr>
                      <w:b/>
                      <w:bCs/>
                      <w:color w:val="000000"/>
                      <w:lang w:eastAsia="zh-CN"/>
                    </w:rPr>
                  </w:pPr>
                  <w:r w:rsidRPr="001D5BB5">
                    <w:rPr>
                      <w:b/>
                      <w:bCs/>
                    </w:rPr>
                    <w:t>於本公告日</w:t>
                  </w:r>
                  <w:r w:rsidRPr="001D5BB5">
                    <w:rPr>
                      <w:rFonts w:hAnsi="PMingLiU" w:hint="eastAsia"/>
                      <w:b/>
                      <w:bCs/>
                    </w:rPr>
                    <w:t>期</w:t>
                  </w:r>
                </w:p>
              </w:tc>
              <w:tc>
                <w:tcPr>
                  <w:tcW w:w="596" w:type="dxa"/>
                  <w:tcBorders>
                    <w:top w:val="nil"/>
                    <w:left w:val="nil"/>
                    <w:bottom w:val="nil"/>
                    <w:right w:val="nil"/>
                  </w:tcBorders>
                  <w:shd w:val="clear" w:color="auto" w:fill="auto"/>
                  <w:vAlign w:val="center"/>
                  <w:hideMark/>
                </w:tcPr>
                <w:p w14:paraId="38F9E113" w14:textId="77777777" w:rsidR="00C83526" w:rsidRPr="00EC7385" w:rsidRDefault="00C83526" w:rsidP="00334DC8">
                  <w:pPr>
                    <w:widowControl/>
                    <w:autoSpaceDE/>
                    <w:autoSpaceDN/>
                    <w:jc w:val="center"/>
                    <w:rPr>
                      <w:b/>
                      <w:bCs/>
                      <w:color w:val="000000"/>
                      <w:lang w:eastAsia="zh-CN"/>
                    </w:rPr>
                  </w:pPr>
                </w:p>
              </w:tc>
              <w:tc>
                <w:tcPr>
                  <w:tcW w:w="3467" w:type="dxa"/>
                  <w:gridSpan w:val="7"/>
                  <w:vMerge w:val="restart"/>
                  <w:tcBorders>
                    <w:top w:val="nil"/>
                    <w:left w:val="nil"/>
                    <w:bottom w:val="nil"/>
                    <w:right w:val="nil"/>
                  </w:tcBorders>
                  <w:shd w:val="clear" w:color="auto" w:fill="auto"/>
                  <w:vAlign w:val="center"/>
                  <w:hideMark/>
                </w:tcPr>
                <w:p w14:paraId="653C60C1" w14:textId="588E0CA3" w:rsidR="00C83526" w:rsidRPr="00EC7385" w:rsidRDefault="005350DC" w:rsidP="00334DC8">
                  <w:pPr>
                    <w:widowControl/>
                    <w:autoSpaceDE/>
                    <w:autoSpaceDN/>
                    <w:jc w:val="center"/>
                    <w:rPr>
                      <w:b/>
                      <w:bCs/>
                      <w:color w:val="000000"/>
                      <w:lang w:eastAsia="zh-CN"/>
                    </w:rPr>
                  </w:pPr>
                  <w:r w:rsidRPr="001D5BB5">
                    <w:rPr>
                      <w:b/>
                      <w:bCs/>
                    </w:rPr>
                    <w:t>緊隨完成後</w:t>
                  </w:r>
                </w:p>
              </w:tc>
            </w:tr>
            <w:tr w:rsidR="00C83526" w:rsidRPr="00EC7385" w14:paraId="770712C7" w14:textId="77777777" w:rsidTr="000C023B">
              <w:trPr>
                <w:trHeight w:val="310"/>
              </w:trPr>
              <w:tc>
                <w:tcPr>
                  <w:tcW w:w="1897" w:type="dxa"/>
                  <w:vMerge/>
                  <w:tcBorders>
                    <w:top w:val="nil"/>
                    <w:left w:val="nil"/>
                    <w:bottom w:val="nil"/>
                    <w:right w:val="nil"/>
                  </w:tcBorders>
                  <w:vAlign w:val="center"/>
                  <w:hideMark/>
                </w:tcPr>
                <w:p w14:paraId="5E86D4EB" w14:textId="77777777" w:rsidR="00C83526" w:rsidRPr="00EC7385" w:rsidRDefault="00C83526" w:rsidP="00334DC8">
                  <w:pPr>
                    <w:widowControl/>
                    <w:autoSpaceDE/>
                    <w:autoSpaceDN/>
                    <w:rPr>
                      <w:sz w:val="24"/>
                      <w:szCs w:val="24"/>
                      <w:lang w:eastAsia="zh-CN"/>
                    </w:rPr>
                  </w:pPr>
                </w:p>
              </w:tc>
              <w:tc>
                <w:tcPr>
                  <w:tcW w:w="3393" w:type="dxa"/>
                  <w:gridSpan w:val="3"/>
                  <w:vMerge/>
                  <w:tcBorders>
                    <w:top w:val="nil"/>
                    <w:left w:val="nil"/>
                    <w:bottom w:val="nil"/>
                    <w:right w:val="nil"/>
                  </w:tcBorders>
                  <w:vAlign w:val="center"/>
                  <w:hideMark/>
                </w:tcPr>
                <w:p w14:paraId="75A331C1" w14:textId="77777777" w:rsidR="00C83526" w:rsidRPr="00EC7385" w:rsidRDefault="00C83526" w:rsidP="00334DC8">
                  <w:pPr>
                    <w:widowControl/>
                    <w:autoSpaceDE/>
                    <w:autoSpaceDN/>
                    <w:rPr>
                      <w:b/>
                      <w:bCs/>
                      <w:color w:val="000000"/>
                      <w:lang w:eastAsia="zh-CN"/>
                    </w:rPr>
                  </w:pPr>
                </w:p>
              </w:tc>
              <w:tc>
                <w:tcPr>
                  <w:tcW w:w="596" w:type="dxa"/>
                  <w:tcBorders>
                    <w:top w:val="nil"/>
                    <w:left w:val="nil"/>
                    <w:bottom w:val="nil"/>
                    <w:right w:val="nil"/>
                  </w:tcBorders>
                  <w:shd w:val="clear" w:color="auto" w:fill="auto"/>
                  <w:vAlign w:val="center"/>
                  <w:hideMark/>
                </w:tcPr>
                <w:p w14:paraId="10B8B905" w14:textId="77777777" w:rsidR="00C83526" w:rsidRPr="00EC7385" w:rsidRDefault="00C83526" w:rsidP="00334DC8">
                  <w:pPr>
                    <w:widowControl/>
                    <w:autoSpaceDE/>
                    <w:autoSpaceDN/>
                    <w:jc w:val="center"/>
                    <w:rPr>
                      <w:b/>
                      <w:bCs/>
                      <w:color w:val="000000"/>
                      <w:lang w:eastAsia="zh-CN"/>
                    </w:rPr>
                  </w:pPr>
                </w:p>
              </w:tc>
              <w:tc>
                <w:tcPr>
                  <w:tcW w:w="3467" w:type="dxa"/>
                  <w:gridSpan w:val="7"/>
                  <w:vMerge/>
                  <w:tcBorders>
                    <w:top w:val="nil"/>
                    <w:left w:val="nil"/>
                    <w:bottom w:val="nil"/>
                    <w:right w:val="nil"/>
                  </w:tcBorders>
                  <w:vAlign w:val="center"/>
                  <w:hideMark/>
                </w:tcPr>
                <w:p w14:paraId="199EAAB1" w14:textId="77777777" w:rsidR="00C83526" w:rsidRPr="00EC7385" w:rsidRDefault="00C83526" w:rsidP="00334DC8">
                  <w:pPr>
                    <w:widowControl/>
                    <w:autoSpaceDE/>
                    <w:autoSpaceDN/>
                    <w:rPr>
                      <w:b/>
                      <w:bCs/>
                      <w:color w:val="000000"/>
                      <w:lang w:eastAsia="zh-CN"/>
                    </w:rPr>
                  </w:pPr>
                </w:p>
              </w:tc>
            </w:tr>
            <w:tr w:rsidR="00C83526" w:rsidRPr="00EC7385" w14:paraId="2DE9BCCB" w14:textId="77777777" w:rsidTr="000C023B">
              <w:trPr>
                <w:trHeight w:val="310"/>
              </w:trPr>
              <w:tc>
                <w:tcPr>
                  <w:tcW w:w="1897" w:type="dxa"/>
                  <w:vMerge/>
                  <w:tcBorders>
                    <w:top w:val="nil"/>
                    <w:left w:val="nil"/>
                    <w:bottom w:val="nil"/>
                    <w:right w:val="nil"/>
                  </w:tcBorders>
                  <w:vAlign w:val="center"/>
                  <w:hideMark/>
                </w:tcPr>
                <w:p w14:paraId="65684B43" w14:textId="77777777" w:rsidR="00C83526" w:rsidRPr="00EC7385" w:rsidRDefault="00C83526" w:rsidP="00334DC8">
                  <w:pPr>
                    <w:widowControl/>
                    <w:autoSpaceDE/>
                    <w:autoSpaceDN/>
                    <w:rPr>
                      <w:sz w:val="24"/>
                      <w:szCs w:val="24"/>
                      <w:lang w:eastAsia="zh-CN"/>
                    </w:rPr>
                  </w:pPr>
                </w:p>
              </w:tc>
              <w:tc>
                <w:tcPr>
                  <w:tcW w:w="3393" w:type="dxa"/>
                  <w:gridSpan w:val="3"/>
                  <w:vMerge/>
                  <w:tcBorders>
                    <w:top w:val="nil"/>
                    <w:left w:val="nil"/>
                    <w:bottom w:val="nil"/>
                    <w:right w:val="nil"/>
                  </w:tcBorders>
                  <w:vAlign w:val="center"/>
                  <w:hideMark/>
                </w:tcPr>
                <w:p w14:paraId="6D1C23A0" w14:textId="77777777" w:rsidR="00C83526" w:rsidRPr="00EC7385" w:rsidRDefault="00C83526" w:rsidP="00334DC8">
                  <w:pPr>
                    <w:widowControl/>
                    <w:autoSpaceDE/>
                    <w:autoSpaceDN/>
                    <w:rPr>
                      <w:b/>
                      <w:bCs/>
                      <w:color w:val="000000"/>
                      <w:lang w:eastAsia="zh-CN"/>
                    </w:rPr>
                  </w:pPr>
                </w:p>
              </w:tc>
              <w:tc>
                <w:tcPr>
                  <w:tcW w:w="596" w:type="dxa"/>
                  <w:tcBorders>
                    <w:top w:val="nil"/>
                    <w:left w:val="nil"/>
                    <w:bottom w:val="nil"/>
                    <w:right w:val="nil"/>
                  </w:tcBorders>
                  <w:shd w:val="clear" w:color="auto" w:fill="auto"/>
                  <w:vAlign w:val="center"/>
                  <w:hideMark/>
                </w:tcPr>
                <w:p w14:paraId="6B8FAC9B" w14:textId="77777777" w:rsidR="00C83526" w:rsidRPr="00EC7385" w:rsidRDefault="00C83526" w:rsidP="00334DC8">
                  <w:pPr>
                    <w:widowControl/>
                    <w:autoSpaceDE/>
                    <w:autoSpaceDN/>
                    <w:jc w:val="center"/>
                    <w:rPr>
                      <w:sz w:val="20"/>
                      <w:szCs w:val="20"/>
                      <w:lang w:eastAsia="zh-CN"/>
                    </w:rPr>
                  </w:pPr>
                </w:p>
              </w:tc>
              <w:tc>
                <w:tcPr>
                  <w:tcW w:w="3467" w:type="dxa"/>
                  <w:gridSpan w:val="7"/>
                  <w:vMerge/>
                  <w:tcBorders>
                    <w:top w:val="nil"/>
                    <w:left w:val="nil"/>
                    <w:bottom w:val="nil"/>
                    <w:right w:val="nil"/>
                  </w:tcBorders>
                  <w:vAlign w:val="center"/>
                  <w:hideMark/>
                </w:tcPr>
                <w:p w14:paraId="01DD9D57" w14:textId="77777777" w:rsidR="00C83526" w:rsidRPr="00EC7385" w:rsidRDefault="00C83526" w:rsidP="00334DC8">
                  <w:pPr>
                    <w:widowControl/>
                    <w:autoSpaceDE/>
                    <w:autoSpaceDN/>
                    <w:rPr>
                      <w:b/>
                      <w:bCs/>
                      <w:color w:val="000000"/>
                      <w:lang w:eastAsia="zh-CN"/>
                    </w:rPr>
                  </w:pPr>
                </w:p>
              </w:tc>
            </w:tr>
            <w:tr w:rsidR="00C83526" w:rsidRPr="00EC7385" w14:paraId="6681884B" w14:textId="77777777" w:rsidTr="000C023B">
              <w:trPr>
                <w:trHeight w:val="130"/>
              </w:trPr>
              <w:tc>
                <w:tcPr>
                  <w:tcW w:w="1897" w:type="dxa"/>
                  <w:vMerge/>
                  <w:tcBorders>
                    <w:top w:val="nil"/>
                    <w:left w:val="nil"/>
                    <w:bottom w:val="nil"/>
                    <w:right w:val="nil"/>
                  </w:tcBorders>
                  <w:vAlign w:val="center"/>
                  <w:hideMark/>
                </w:tcPr>
                <w:p w14:paraId="7AFC7556" w14:textId="77777777" w:rsidR="00C83526" w:rsidRPr="00EC7385" w:rsidRDefault="00C83526" w:rsidP="00334DC8">
                  <w:pPr>
                    <w:widowControl/>
                    <w:autoSpaceDE/>
                    <w:autoSpaceDN/>
                    <w:rPr>
                      <w:sz w:val="24"/>
                      <w:szCs w:val="24"/>
                      <w:lang w:eastAsia="zh-CN"/>
                    </w:rPr>
                  </w:pPr>
                </w:p>
              </w:tc>
              <w:tc>
                <w:tcPr>
                  <w:tcW w:w="3393" w:type="dxa"/>
                  <w:gridSpan w:val="3"/>
                  <w:vMerge/>
                  <w:tcBorders>
                    <w:top w:val="nil"/>
                    <w:left w:val="nil"/>
                    <w:bottom w:val="nil"/>
                    <w:right w:val="nil"/>
                  </w:tcBorders>
                  <w:vAlign w:val="center"/>
                  <w:hideMark/>
                </w:tcPr>
                <w:p w14:paraId="422E60EC" w14:textId="77777777" w:rsidR="00C83526" w:rsidRPr="00EC7385" w:rsidRDefault="00C83526" w:rsidP="00334DC8">
                  <w:pPr>
                    <w:widowControl/>
                    <w:autoSpaceDE/>
                    <w:autoSpaceDN/>
                    <w:rPr>
                      <w:b/>
                      <w:bCs/>
                      <w:color w:val="000000"/>
                      <w:lang w:eastAsia="zh-CN"/>
                    </w:rPr>
                  </w:pPr>
                </w:p>
              </w:tc>
              <w:tc>
                <w:tcPr>
                  <w:tcW w:w="596" w:type="dxa"/>
                  <w:tcBorders>
                    <w:top w:val="nil"/>
                    <w:left w:val="nil"/>
                    <w:bottom w:val="nil"/>
                    <w:right w:val="nil"/>
                  </w:tcBorders>
                  <w:shd w:val="clear" w:color="auto" w:fill="auto"/>
                  <w:vAlign w:val="center"/>
                  <w:hideMark/>
                </w:tcPr>
                <w:p w14:paraId="0849212B" w14:textId="77777777" w:rsidR="00C83526" w:rsidRPr="00EC7385" w:rsidRDefault="00C83526" w:rsidP="00334DC8">
                  <w:pPr>
                    <w:widowControl/>
                    <w:autoSpaceDE/>
                    <w:autoSpaceDN/>
                    <w:jc w:val="center"/>
                    <w:rPr>
                      <w:sz w:val="20"/>
                      <w:szCs w:val="20"/>
                      <w:lang w:eastAsia="zh-CN"/>
                    </w:rPr>
                  </w:pPr>
                </w:p>
              </w:tc>
              <w:tc>
                <w:tcPr>
                  <w:tcW w:w="3467" w:type="dxa"/>
                  <w:gridSpan w:val="7"/>
                  <w:vMerge/>
                  <w:tcBorders>
                    <w:top w:val="nil"/>
                    <w:left w:val="nil"/>
                    <w:bottom w:val="nil"/>
                    <w:right w:val="nil"/>
                  </w:tcBorders>
                  <w:vAlign w:val="center"/>
                  <w:hideMark/>
                </w:tcPr>
                <w:p w14:paraId="788A2384" w14:textId="77777777" w:rsidR="00C83526" w:rsidRPr="00EC7385" w:rsidRDefault="00C83526" w:rsidP="00334DC8">
                  <w:pPr>
                    <w:widowControl/>
                    <w:autoSpaceDE/>
                    <w:autoSpaceDN/>
                    <w:rPr>
                      <w:b/>
                      <w:bCs/>
                      <w:color w:val="000000"/>
                      <w:lang w:eastAsia="zh-CN"/>
                    </w:rPr>
                  </w:pPr>
                </w:p>
              </w:tc>
            </w:tr>
            <w:tr w:rsidR="00C83526" w:rsidRPr="00EC7385" w14:paraId="0AAD8329" w14:textId="77777777" w:rsidTr="000C023B">
              <w:trPr>
                <w:gridAfter w:val="1"/>
                <w:wAfter w:w="353" w:type="dxa"/>
                <w:trHeight w:val="1170"/>
              </w:trPr>
              <w:tc>
                <w:tcPr>
                  <w:tcW w:w="1897" w:type="dxa"/>
                  <w:vMerge w:val="restart"/>
                  <w:tcBorders>
                    <w:top w:val="nil"/>
                    <w:left w:val="nil"/>
                    <w:bottom w:val="nil"/>
                    <w:right w:val="nil"/>
                  </w:tcBorders>
                  <w:shd w:val="clear" w:color="auto" w:fill="auto"/>
                  <w:vAlign w:val="center"/>
                  <w:hideMark/>
                </w:tcPr>
                <w:p w14:paraId="1256A381" w14:textId="0D96EC24" w:rsidR="00C83526" w:rsidRPr="00EC7385" w:rsidRDefault="00C83526" w:rsidP="00334DC8">
                  <w:pPr>
                    <w:widowControl/>
                    <w:autoSpaceDE/>
                    <w:autoSpaceDN/>
                    <w:rPr>
                      <w:b/>
                      <w:bCs/>
                      <w:color w:val="000000"/>
                      <w:lang w:eastAsia="zh-CN"/>
                    </w:rPr>
                  </w:pPr>
                  <w:r w:rsidRPr="001223A1">
                    <w:rPr>
                      <w:b/>
                      <w:bCs/>
                    </w:rPr>
                    <w:t>主要股東及董</w:t>
                  </w:r>
                  <w:r w:rsidRPr="001223A1">
                    <w:rPr>
                      <w:rFonts w:hAnsi="PMingLiU" w:hint="eastAsia"/>
                      <w:b/>
                      <w:bCs/>
                    </w:rPr>
                    <w:t>事</w:t>
                  </w:r>
                </w:p>
              </w:tc>
              <w:tc>
                <w:tcPr>
                  <w:tcW w:w="1523" w:type="dxa"/>
                  <w:vMerge w:val="restart"/>
                  <w:tcBorders>
                    <w:top w:val="nil"/>
                    <w:left w:val="nil"/>
                    <w:bottom w:val="nil"/>
                    <w:right w:val="nil"/>
                  </w:tcBorders>
                  <w:shd w:val="clear" w:color="auto" w:fill="auto"/>
                  <w:vAlign w:val="center"/>
                  <w:hideMark/>
                </w:tcPr>
                <w:p w14:paraId="20CB41D0" w14:textId="7D47DA89" w:rsidR="00C83526" w:rsidRPr="00EC7385" w:rsidRDefault="001223A1" w:rsidP="00334DC8">
                  <w:pPr>
                    <w:widowControl/>
                    <w:autoSpaceDE/>
                    <w:autoSpaceDN/>
                    <w:jc w:val="center"/>
                    <w:rPr>
                      <w:i/>
                      <w:iCs/>
                      <w:color w:val="000000"/>
                      <w:lang w:eastAsia="zh-CN"/>
                    </w:rPr>
                  </w:pPr>
                  <w:r w:rsidRPr="003B322B">
                    <w:rPr>
                      <w:i/>
                      <w:iCs/>
                    </w:rPr>
                    <w:t>股份數目</w:t>
                  </w:r>
                </w:p>
              </w:tc>
              <w:tc>
                <w:tcPr>
                  <w:tcW w:w="275" w:type="dxa"/>
                  <w:tcBorders>
                    <w:top w:val="nil"/>
                    <w:left w:val="nil"/>
                    <w:bottom w:val="nil"/>
                    <w:right w:val="nil"/>
                  </w:tcBorders>
                  <w:shd w:val="clear" w:color="auto" w:fill="auto"/>
                  <w:vAlign w:val="center"/>
                  <w:hideMark/>
                </w:tcPr>
                <w:p w14:paraId="30A89A03" w14:textId="77777777" w:rsidR="00C83526" w:rsidRPr="00EC7385" w:rsidRDefault="00C83526" w:rsidP="00334DC8">
                  <w:pPr>
                    <w:widowControl/>
                    <w:autoSpaceDE/>
                    <w:autoSpaceDN/>
                    <w:jc w:val="center"/>
                    <w:rPr>
                      <w:i/>
                      <w:iCs/>
                      <w:color w:val="000000"/>
                      <w:lang w:eastAsia="zh-CN"/>
                    </w:rPr>
                  </w:pPr>
                </w:p>
              </w:tc>
              <w:tc>
                <w:tcPr>
                  <w:tcW w:w="1595" w:type="dxa"/>
                  <w:vMerge w:val="restart"/>
                  <w:tcBorders>
                    <w:top w:val="nil"/>
                    <w:left w:val="nil"/>
                    <w:bottom w:val="nil"/>
                    <w:right w:val="nil"/>
                  </w:tcBorders>
                  <w:shd w:val="clear" w:color="auto" w:fill="auto"/>
                  <w:vAlign w:val="center"/>
                  <w:hideMark/>
                </w:tcPr>
                <w:p w14:paraId="333447C1" w14:textId="77777777" w:rsidR="000C023B" w:rsidRDefault="001223A1" w:rsidP="00334DC8">
                  <w:pPr>
                    <w:widowControl/>
                    <w:autoSpaceDE/>
                    <w:autoSpaceDN/>
                    <w:jc w:val="right"/>
                    <w:rPr>
                      <w:i/>
                      <w:iCs/>
                    </w:rPr>
                  </w:pPr>
                  <w:r w:rsidRPr="003B322B">
                    <w:rPr>
                      <w:i/>
                      <w:iCs/>
                    </w:rPr>
                    <w:t>股權概約</w:t>
                  </w:r>
                </w:p>
                <w:p w14:paraId="4F292993" w14:textId="44B6C870" w:rsidR="00C83526" w:rsidRPr="00EC7385" w:rsidRDefault="001223A1" w:rsidP="00334DC8">
                  <w:pPr>
                    <w:widowControl/>
                    <w:autoSpaceDE/>
                    <w:autoSpaceDN/>
                    <w:jc w:val="right"/>
                    <w:rPr>
                      <w:i/>
                      <w:iCs/>
                      <w:color w:val="000000"/>
                      <w:lang w:eastAsia="zh-CN"/>
                    </w:rPr>
                  </w:pPr>
                  <w:r w:rsidRPr="003B322B">
                    <w:rPr>
                      <w:i/>
                      <w:iCs/>
                    </w:rPr>
                    <w:t>百分</w:t>
                  </w:r>
                  <w:r w:rsidRPr="003B322B">
                    <w:rPr>
                      <w:rFonts w:hAnsi="PMingLiU" w:hint="eastAsia"/>
                      <w:i/>
                      <w:iCs/>
                    </w:rPr>
                    <w:t>比</w:t>
                  </w:r>
                </w:p>
              </w:tc>
              <w:tc>
                <w:tcPr>
                  <w:tcW w:w="630" w:type="dxa"/>
                  <w:gridSpan w:val="2"/>
                  <w:tcBorders>
                    <w:top w:val="nil"/>
                    <w:left w:val="nil"/>
                    <w:bottom w:val="nil"/>
                    <w:right w:val="nil"/>
                  </w:tcBorders>
                  <w:shd w:val="clear" w:color="auto" w:fill="auto"/>
                  <w:vAlign w:val="center"/>
                  <w:hideMark/>
                </w:tcPr>
                <w:p w14:paraId="792CC6FD" w14:textId="77777777" w:rsidR="00C83526" w:rsidRPr="00EC7385" w:rsidRDefault="00C83526" w:rsidP="00334DC8">
                  <w:pPr>
                    <w:widowControl/>
                    <w:autoSpaceDE/>
                    <w:autoSpaceDN/>
                    <w:jc w:val="center"/>
                    <w:rPr>
                      <w:i/>
                      <w:iCs/>
                      <w:color w:val="000000"/>
                      <w:lang w:eastAsia="zh-CN"/>
                    </w:rPr>
                  </w:pPr>
                </w:p>
              </w:tc>
              <w:tc>
                <w:tcPr>
                  <w:tcW w:w="1113" w:type="dxa"/>
                  <w:vMerge w:val="restart"/>
                  <w:tcBorders>
                    <w:top w:val="nil"/>
                    <w:left w:val="nil"/>
                    <w:bottom w:val="nil"/>
                    <w:right w:val="nil"/>
                  </w:tcBorders>
                  <w:shd w:val="clear" w:color="auto" w:fill="auto"/>
                  <w:vAlign w:val="center"/>
                  <w:hideMark/>
                </w:tcPr>
                <w:p w14:paraId="45DAC8E7" w14:textId="7CD7D7A7" w:rsidR="00C83526" w:rsidRPr="00EC7385" w:rsidRDefault="003A0382" w:rsidP="00334DC8">
                  <w:pPr>
                    <w:widowControl/>
                    <w:autoSpaceDE/>
                    <w:autoSpaceDN/>
                    <w:jc w:val="center"/>
                    <w:rPr>
                      <w:i/>
                      <w:iCs/>
                      <w:color w:val="000000"/>
                      <w:lang w:eastAsia="zh-CN"/>
                    </w:rPr>
                  </w:pPr>
                  <w:r w:rsidRPr="003B322B">
                    <w:rPr>
                      <w:i/>
                      <w:iCs/>
                    </w:rPr>
                    <w:t>股份數目</w:t>
                  </w:r>
                </w:p>
              </w:tc>
              <w:tc>
                <w:tcPr>
                  <w:tcW w:w="777" w:type="dxa"/>
                  <w:gridSpan w:val="3"/>
                  <w:tcBorders>
                    <w:top w:val="nil"/>
                    <w:left w:val="nil"/>
                    <w:bottom w:val="nil"/>
                    <w:right w:val="nil"/>
                  </w:tcBorders>
                  <w:shd w:val="clear" w:color="auto" w:fill="auto"/>
                  <w:vAlign w:val="center"/>
                  <w:hideMark/>
                </w:tcPr>
                <w:p w14:paraId="755A1C75" w14:textId="77777777" w:rsidR="00C83526" w:rsidRPr="00EC7385" w:rsidRDefault="00C83526" w:rsidP="00334DC8">
                  <w:pPr>
                    <w:widowControl/>
                    <w:autoSpaceDE/>
                    <w:autoSpaceDN/>
                    <w:jc w:val="center"/>
                    <w:rPr>
                      <w:i/>
                      <w:iCs/>
                      <w:color w:val="000000"/>
                      <w:lang w:eastAsia="zh-CN"/>
                    </w:rPr>
                  </w:pPr>
                </w:p>
              </w:tc>
              <w:tc>
                <w:tcPr>
                  <w:tcW w:w="1190" w:type="dxa"/>
                  <w:vMerge w:val="restart"/>
                  <w:tcBorders>
                    <w:top w:val="nil"/>
                    <w:left w:val="nil"/>
                    <w:bottom w:val="nil"/>
                    <w:right w:val="nil"/>
                  </w:tcBorders>
                  <w:shd w:val="clear" w:color="auto" w:fill="auto"/>
                  <w:vAlign w:val="center"/>
                  <w:hideMark/>
                </w:tcPr>
                <w:p w14:paraId="1D02ACD7" w14:textId="5512ED67" w:rsidR="00C83526" w:rsidRPr="00EC7385" w:rsidRDefault="003A0382" w:rsidP="000C023B">
                  <w:pPr>
                    <w:widowControl/>
                    <w:autoSpaceDE/>
                    <w:autoSpaceDN/>
                    <w:jc w:val="right"/>
                    <w:rPr>
                      <w:i/>
                      <w:iCs/>
                      <w:color w:val="000000"/>
                      <w:lang w:eastAsia="zh-CN"/>
                    </w:rPr>
                  </w:pPr>
                  <w:r w:rsidRPr="003B322B">
                    <w:rPr>
                      <w:i/>
                      <w:iCs/>
                    </w:rPr>
                    <w:t>股權概約百分</w:t>
                  </w:r>
                  <w:r w:rsidRPr="003B322B">
                    <w:rPr>
                      <w:rFonts w:hAnsi="PMingLiU" w:hint="eastAsia"/>
                      <w:i/>
                      <w:iCs/>
                    </w:rPr>
                    <w:t>比</w:t>
                  </w:r>
                </w:p>
              </w:tc>
            </w:tr>
            <w:tr w:rsidR="00C83526" w:rsidRPr="00EC7385" w14:paraId="36674F62" w14:textId="77777777" w:rsidTr="000C023B">
              <w:trPr>
                <w:trHeight w:val="64"/>
              </w:trPr>
              <w:tc>
                <w:tcPr>
                  <w:tcW w:w="1897" w:type="dxa"/>
                  <w:vMerge/>
                  <w:tcBorders>
                    <w:top w:val="nil"/>
                    <w:left w:val="nil"/>
                    <w:bottom w:val="nil"/>
                    <w:right w:val="nil"/>
                  </w:tcBorders>
                  <w:vAlign w:val="center"/>
                  <w:hideMark/>
                </w:tcPr>
                <w:p w14:paraId="3D8D6136" w14:textId="77777777" w:rsidR="00C83526" w:rsidRPr="00EC7385" w:rsidRDefault="00C83526" w:rsidP="00334DC8">
                  <w:pPr>
                    <w:widowControl/>
                    <w:autoSpaceDE/>
                    <w:autoSpaceDN/>
                    <w:rPr>
                      <w:b/>
                      <w:bCs/>
                      <w:color w:val="000000"/>
                      <w:lang w:eastAsia="zh-CN"/>
                    </w:rPr>
                  </w:pPr>
                </w:p>
              </w:tc>
              <w:tc>
                <w:tcPr>
                  <w:tcW w:w="1523" w:type="dxa"/>
                  <w:vMerge/>
                  <w:tcBorders>
                    <w:top w:val="nil"/>
                    <w:left w:val="nil"/>
                    <w:bottom w:val="nil"/>
                    <w:right w:val="nil"/>
                  </w:tcBorders>
                  <w:vAlign w:val="center"/>
                  <w:hideMark/>
                </w:tcPr>
                <w:p w14:paraId="73D719A0" w14:textId="77777777" w:rsidR="00C83526" w:rsidRPr="00EC7385" w:rsidRDefault="00C83526" w:rsidP="00334DC8">
                  <w:pPr>
                    <w:widowControl/>
                    <w:autoSpaceDE/>
                    <w:autoSpaceDN/>
                    <w:rPr>
                      <w:i/>
                      <w:iCs/>
                      <w:color w:val="000000"/>
                      <w:lang w:eastAsia="zh-CN"/>
                    </w:rPr>
                  </w:pPr>
                </w:p>
              </w:tc>
              <w:tc>
                <w:tcPr>
                  <w:tcW w:w="275" w:type="dxa"/>
                  <w:tcBorders>
                    <w:top w:val="nil"/>
                    <w:left w:val="nil"/>
                    <w:bottom w:val="nil"/>
                    <w:right w:val="nil"/>
                  </w:tcBorders>
                  <w:shd w:val="clear" w:color="auto" w:fill="auto"/>
                  <w:vAlign w:val="center"/>
                  <w:hideMark/>
                </w:tcPr>
                <w:p w14:paraId="1DFEF421" w14:textId="77777777" w:rsidR="00C83526" w:rsidRPr="00EC7385" w:rsidRDefault="00C83526" w:rsidP="00334DC8">
                  <w:pPr>
                    <w:widowControl/>
                    <w:autoSpaceDE/>
                    <w:autoSpaceDN/>
                    <w:jc w:val="center"/>
                    <w:rPr>
                      <w:i/>
                      <w:iCs/>
                      <w:color w:val="000000"/>
                      <w:lang w:eastAsia="zh-CN"/>
                    </w:rPr>
                  </w:pPr>
                </w:p>
              </w:tc>
              <w:tc>
                <w:tcPr>
                  <w:tcW w:w="1595" w:type="dxa"/>
                  <w:vMerge/>
                  <w:tcBorders>
                    <w:top w:val="nil"/>
                    <w:left w:val="nil"/>
                    <w:bottom w:val="nil"/>
                    <w:right w:val="nil"/>
                  </w:tcBorders>
                  <w:vAlign w:val="center"/>
                  <w:hideMark/>
                </w:tcPr>
                <w:p w14:paraId="58E86A22" w14:textId="77777777" w:rsidR="00C83526" w:rsidRPr="00EC7385" w:rsidRDefault="00C83526" w:rsidP="00334DC8">
                  <w:pPr>
                    <w:widowControl/>
                    <w:autoSpaceDE/>
                    <w:autoSpaceDN/>
                    <w:rPr>
                      <w:i/>
                      <w:iCs/>
                      <w:color w:val="000000"/>
                      <w:lang w:eastAsia="zh-CN"/>
                    </w:rPr>
                  </w:pPr>
                </w:p>
              </w:tc>
              <w:tc>
                <w:tcPr>
                  <w:tcW w:w="596" w:type="dxa"/>
                  <w:tcBorders>
                    <w:top w:val="nil"/>
                    <w:left w:val="nil"/>
                    <w:bottom w:val="nil"/>
                    <w:right w:val="nil"/>
                  </w:tcBorders>
                  <w:shd w:val="clear" w:color="auto" w:fill="auto"/>
                  <w:vAlign w:val="center"/>
                  <w:hideMark/>
                </w:tcPr>
                <w:p w14:paraId="673C7384" w14:textId="77777777" w:rsidR="00C83526" w:rsidRPr="00EC7385" w:rsidRDefault="00C83526" w:rsidP="00334DC8">
                  <w:pPr>
                    <w:widowControl/>
                    <w:autoSpaceDE/>
                    <w:autoSpaceDN/>
                    <w:jc w:val="center"/>
                    <w:rPr>
                      <w:sz w:val="20"/>
                      <w:szCs w:val="20"/>
                      <w:lang w:eastAsia="zh-CN"/>
                    </w:rPr>
                  </w:pPr>
                </w:p>
              </w:tc>
              <w:tc>
                <w:tcPr>
                  <w:tcW w:w="1500" w:type="dxa"/>
                  <w:gridSpan w:val="3"/>
                  <w:vMerge/>
                  <w:tcBorders>
                    <w:top w:val="nil"/>
                    <w:left w:val="nil"/>
                    <w:bottom w:val="nil"/>
                    <w:right w:val="nil"/>
                  </w:tcBorders>
                  <w:vAlign w:val="center"/>
                  <w:hideMark/>
                </w:tcPr>
                <w:p w14:paraId="15286EA4" w14:textId="77777777" w:rsidR="00C83526" w:rsidRPr="00EC7385" w:rsidRDefault="00C83526" w:rsidP="00334DC8">
                  <w:pPr>
                    <w:widowControl/>
                    <w:autoSpaceDE/>
                    <w:autoSpaceDN/>
                    <w:rPr>
                      <w:i/>
                      <w:iCs/>
                      <w:color w:val="000000"/>
                      <w:lang w:eastAsia="zh-CN"/>
                    </w:rPr>
                  </w:pPr>
                </w:p>
              </w:tc>
              <w:tc>
                <w:tcPr>
                  <w:tcW w:w="244" w:type="dxa"/>
                  <w:tcBorders>
                    <w:top w:val="nil"/>
                    <w:left w:val="nil"/>
                    <w:bottom w:val="nil"/>
                    <w:right w:val="nil"/>
                  </w:tcBorders>
                  <w:shd w:val="clear" w:color="auto" w:fill="auto"/>
                  <w:vAlign w:val="center"/>
                  <w:hideMark/>
                </w:tcPr>
                <w:p w14:paraId="4B293B55" w14:textId="77777777" w:rsidR="00C83526" w:rsidRPr="00EC7385" w:rsidRDefault="00C83526" w:rsidP="00334DC8">
                  <w:pPr>
                    <w:widowControl/>
                    <w:autoSpaceDE/>
                    <w:autoSpaceDN/>
                    <w:jc w:val="center"/>
                    <w:rPr>
                      <w:sz w:val="20"/>
                      <w:szCs w:val="20"/>
                      <w:lang w:eastAsia="zh-CN"/>
                    </w:rPr>
                  </w:pPr>
                </w:p>
              </w:tc>
              <w:tc>
                <w:tcPr>
                  <w:tcW w:w="1723" w:type="dxa"/>
                  <w:gridSpan w:val="3"/>
                  <w:vMerge/>
                  <w:tcBorders>
                    <w:top w:val="nil"/>
                    <w:left w:val="nil"/>
                    <w:bottom w:val="nil"/>
                    <w:right w:val="nil"/>
                  </w:tcBorders>
                  <w:vAlign w:val="center"/>
                  <w:hideMark/>
                </w:tcPr>
                <w:p w14:paraId="07D5F6BC" w14:textId="77777777" w:rsidR="00C83526" w:rsidRPr="00EC7385" w:rsidRDefault="00C83526" w:rsidP="00334DC8">
                  <w:pPr>
                    <w:widowControl/>
                    <w:autoSpaceDE/>
                    <w:autoSpaceDN/>
                    <w:rPr>
                      <w:i/>
                      <w:iCs/>
                      <w:color w:val="000000"/>
                      <w:lang w:eastAsia="zh-CN"/>
                    </w:rPr>
                  </w:pPr>
                </w:p>
              </w:tc>
            </w:tr>
            <w:tr w:rsidR="00C83526" w:rsidRPr="00EC7385" w14:paraId="506204FC" w14:textId="77777777" w:rsidTr="000C023B">
              <w:trPr>
                <w:trHeight w:val="64"/>
              </w:trPr>
              <w:tc>
                <w:tcPr>
                  <w:tcW w:w="1897" w:type="dxa"/>
                  <w:vMerge/>
                  <w:tcBorders>
                    <w:top w:val="nil"/>
                    <w:left w:val="nil"/>
                    <w:bottom w:val="nil"/>
                    <w:right w:val="nil"/>
                  </w:tcBorders>
                  <w:vAlign w:val="center"/>
                  <w:hideMark/>
                </w:tcPr>
                <w:p w14:paraId="345D2836" w14:textId="77777777" w:rsidR="00C83526" w:rsidRPr="00EC7385" w:rsidRDefault="00C83526" w:rsidP="00334DC8">
                  <w:pPr>
                    <w:widowControl/>
                    <w:autoSpaceDE/>
                    <w:autoSpaceDN/>
                    <w:rPr>
                      <w:b/>
                      <w:bCs/>
                      <w:color w:val="000000"/>
                      <w:lang w:eastAsia="zh-CN"/>
                    </w:rPr>
                  </w:pPr>
                </w:p>
              </w:tc>
              <w:tc>
                <w:tcPr>
                  <w:tcW w:w="1523" w:type="dxa"/>
                  <w:vMerge/>
                  <w:tcBorders>
                    <w:top w:val="nil"/>
                    <w:left w:val="nil"/>
                    <w:bottom w:val="nil"/>
                    <w:right w:val="nil"/>
                  </w:tcBorders>
                  <w:vAlign w:val="center"/>
                  <w:hideMark/>
                </w:tcPr>
                <w:p w14:paraId="74DC6FA3" w14:textId="77777777" w:rsidR="00C83526" w:rsidRPr="00EC7385" w:rsidRDefault="00C83526" w:rsidP="00334DC8">
                  <w:pPr>
                    <w:widowControl/>
                    <w:autoSpaceDE/>
                    <w:autoSpaceDN/>
                    <w:rPr>
                      <w:i/>
                      <w:iCs/>
                      <w:color w:val="000000"/>
                      <w:lang w:eastAsia="zh-CN"/>
                    </w:rPr>
                  </w:pPr>
                </w:p>
              </w:tc>
              <w:tc>
                <w:tcPr>
                  <w:tcW w:w="275" w:type="dxa"/>
                  <w:tcBorders>
                    <w:top w:val="nil"/>
                    <w:left w:val="nil"/>
                    <w:bottom w:val="nil"/>
                    <w:right w:val="nil"/>
                  </w:tcBorders>
                  <w:shd w:val="clear" w:color="auto" w:fill="auto"/>
                  <w:vAlign w:val="center"/>
                  <w:hideMark/>
                </w:tcPr>
                <w:p w14:paraId="47B3C01E" w14:textId="77777777" w:rsidR="00C83526" w:rsidRPr="00EC7385" w:rsidRDefault="00C83526" w:rsidP="00334DC8">
                  <w:pPr>
                    <w:widowControl/>
                    <w:autoSpaceDE/>
                    <w:autoSpaceDN/>
                    <w:jc w:val="center"/>
                    <w:rPr>
                      <w:sz w:val="20"/>
                      <w:szCs w:val="20"/>
                      <w:lang w:eastAsia="zh-CN"/>
                    </w:rPr>
                  </w:pPr>
                </w:p>
              </w:tc>
              <w:tc>
                <w:tcPr>
                  <w:tcW w:w="1595" w:type="dxa"/>
                  <w:vMerge/>
                  <w:tcBorders>
                    <w:top w:val="nil"/>
                    <w:left w:val="nil"/>
                    <w:bottom w:val="nil"/>
                    <w:right w:val="nil"/>
                  </w:tcBorders>
                  <w:vAlign w:val="center"/>
                  <w:hideMark/>
                </w:tcPr>
                <w:p w14:paraId="55DE1B22" w14:textId="77777777" w:rsidR="00C83526" w:rsidRPr="00EC7385" w:rsidRDefault="00C83526" w:rsidP="00334DC8">
                  <w:pPr>
                    <w:widowControl/>
                    <w:autoSpaceDE/>
                    <w:autoSpaceDN/>
                    <w:rPr>
                      <w:i/>
                      <w:iCs/>
                      <w:color w:val="000000"/>
                      <w:lang w:eastAsia="zh-CN"/>
                    </w:rPr>
                  </w:pPr>
                </w:p>
              </w:tc>
              <w:tc>
                <w:tcPr>
                  <w:tcW w:w="596" w:type="dxa"/>
                  <w:tcBorders>
                    <w:top w:val="nil"/>
                    <w:left w:val="nil"/>
                    <w:bottom w:val="nil"/>
                    <w:right w:val="nil"/>
                  </w:tcBorders>
                  <w:shd w:val="clear" w:color="auto" w:fill="auto"/>
                  <w:vAlign w:val="center"/>
                  <w:hideMark/>
                </w:tcPr>
                <w:p w14:paraId="44C3D832" w14:textId="77777777" w:rsidR="00C83526" w:rsidRPr="00EC7385" w:rsidRDefault="00C83526" w:rsidP="00334DC8">
                  <w:pPr>
                    <w:widowControl/>
                    <w:autoSpaceDE/>
                    <w:autoSpaceDN/>
                    <w:jc w:val="center"/>
                    <w:rPr>
                      <w:sz w:val="20"/>
                      <w:szCs w:val="20"/>
                      <w:lang w:eastAsia="zh-CN"/>
                    </w:rPr>
                  </w:pPr>
                </w:p>
              </w:tc>
              <w:tc>
                <w:tcPr>
                  <w:tcW w:w="1500" w:type="dxa"/>
                  <w:gridSpan w:val="3"/>
                  <w:vMerge/>
                  <w:tcBorders>
                    <w:top w:val="nil"/>
                    <w:left w:val="nil"/>
                    <w:bottom w:val="nil"/>
                    <w:right w:val="nil"/>
                  </w:tcBorders>
                  <w:vAlign w:val="center"/>
                  <w:hideMark/>
                </w:tcPr>
                <w:p w14:paraId="2849BEC5" w14:textId="77777777" w:rsidR="00C83526" w:rsidRPr="00EC7385" w:rsidRDefault="00C83526" w:rsidP="00334DC8">
                  <w:pPr>
                    <w:widowControl/>
                    <w:autoSpaceDE/>
                    <w:autoSpaceDN/>
                    <w:rPr>
                      <w:i/>
                      <w:iCs/>
                      <w:color w:val="000000"/>
                      <w:lang w:eastAsia="zh-CN"/>
                    </w:rPr>
                  </w:pPr>
                </w:p>
              </w:tc>
              <w:tc>
                <w:tcPr>
                  <w:tcW w:w="244" w:type="dxa"/>
                  <w:tcBorders>
                    <w:top w:val="nil"/>
                    <w:left w:val="nil"/>
                    <w:bottom w:val="nil"/>
                    <w:right w:val="nil"/>
                  </w:tcBorders>
                  <w:shd w:val="clear" w:color="auto" w:fill="auto"/>
                  <w:vAlign w:val="center"/>
                  <w:hideMark/>
                </w:tcPr>
                <w:p w14:paraId="302865C8" w14:textId="77777777" w:rsidR="00C83526" w:rsidRPr="00EC7385" w:rsidRDefault="00C83526" w:rsidP="00334DC8">
                  <w:pPr>
                    <w:widowControl/>
                    <w:autoSpaceDE/>
                    <w:autoSpaceDN/>
                    <w:jc w:val="center"/>
                    <w:rPr>
                      <w:sz w:val="20"/>
                      <w:szCs w:val="20"/>
                      <w:lang w:eastAsia="zh-CN"/>
                    </w:rPr>
                  </w:pPr>
                </w:p>
              </w:tc>
              <w:tc>
                <w:tcPr>
                  <w:tcW w:w="1723" w:type="dxa"/>
                  <w:gridSpan w:val="3"/>
                  <w:vMerge/>
                  <w:tcBorders>
                    <w:top w:val="nil"/>
                    <w:left w:val="nil"/>
                    <w:bottom w:val="nil"/>
                    <w:right w:val="nil"/>
                  </w:tcBorders>
                  <w:vAlign w:val="center"/>
                  <w:hideMark/>
                </w:tcPr>
                <w:p w14:paraId="18D577CF" w14:textId="77777777" w:rsidR="00C83526" w:rsidRPr="00EC7385" w:rsidRDefault="00C83526" w:rsidP="00334DC8">
                  <w:pPr>
                    <w:widowControl/>
                    <w:autoSpaceDE/>
                    <w:autoSpaceDN/>
                    <w:rPr>
                      <w:i/>
                      <w:iCs/>
                      <w:color w:val="000000"/>
                      <w:lang w:eastAsia="zh-CN"/>
                    </w:rPr>
                  </w:pPr>
                </w:p>
              </w:tc>
            </w:tr>
            <w:tr w:rsidR="00C83526" w:rsidRPr="00EC7385" w14:paraId="798BCCF2" w14:textId="77777777" w:rsidTr="000C023B">
              <w:trPr>
                <w:trHeight w:val="910"/>
              </w:trPr>
              <w:tc>
                <w:tcPr>
                  <w:tcW w:w="1897" w:type="dxa"/>
                  <w:tcBorders>
                    <w:top w:val="nil"/>
                    <w:left w:val="nil"/>
                    <w:bottom w:val="nil"/>
                    <w:right w:val="nil"/>
                  </w:tcBorders>
                  <w:shd w:val="clear" w:color="auto" w:fill="auto"/>
                  <w:vAlign w:val="center"/>
                  <w:hideMark/>
                </w:tcPr>
                <w:p w14:paraId="4E7A6F2B" w14:textId="77777777" w:rsidR="000C1493" w:rsidRDefault="003A0382" w:rsidP="00334DC8">
                  <w:pPr>
                    <w:widowControl/>
                    <w:autoSpaceDE/>
                    <w:autoSpaceDN/>
                  </w:pPr>
                  <w:r>
                    <w:t>李民強先生</w:t>
                  </w:r>
                </w:p>
                <w:p w14:paraId="5B6607A5" w14:textId="7A9F5B31" w:rsidR="00C83526" w:rsidRPr="00EC7385" w:rsidRDefault="003A0382" w:rsidP="00334DC8">
                  <w:pPr>
                    <w:widowControl/>
                    <w:autoSpaceDE/>
                    <w:autoSpaceDN/>
                    <w:rPr>
                      <w:color w:val="000000"/>
                      <w:lang w:eastAsia="zh-CN"/>
                    </w:rPr>
                  </w:pPr>
                  <w:r>
                    <w:t>(附注 1)</w:t>
                  </w:r>
                </w:p>
              </w:tc>
              <w:tc>
                <w:tcPr>
                  <w:tcW w:w="1523" w:type="dxa"/>
                  <w:tcBorders>
                    <w:top w:val="nil"/>
                    <w:left w:val="nil"/>
                    <w:bottom w:val="nil"/>
                    <w:right w:val="nil"/>
                  </w:tcBorders>
                  <w:shd w:val="clear" w:color="auto" w:fill="auto"/>
                  <w:vAlign w:val="center"/>
                  <w:hideMark/>
                </w:tcPr>
                <w:p w14:paraId="74402572" w14:textId="77777777" w:rsidR="00C83526" w:rsidRPr="00EC7385" w:rsidRDefault="00C83526" w:rsidP="00334DC8">
                  <w:pPr>
                    <w:widowControl/>
                    <w:autoSpaceDE/>
                    <w:autoSpaceDN/>
                    <w:jc w:val="right"/>
                    <w:rPr>
                      <w:color w:val="000000"/>
                      <w:lang w:eastAsia="zh-CN"/>
                    </w:rPr>
                  </w:pPr>
                  <w:r w:rsidRPr="00EC7385">
                    <w:rPr>
                      <w:color w:val="000000"/>
                      <w:lang w:eastAsia="zh-CN"/>
                    </w:rPr>
                    <w:t>6,598,800</w:t>
                  </w:r>
                </w:p>
              </w:tc>
              <w:tc>
                <w:tcPr>
                  <w:tcW w:w="275" w:type="dxa"/>
                  <w:tcBorders>
                    <w:top w:val="nil"/>
                    <w:left w:val="nil"/>
                    <w:bottom w:val="nil"/>
                    <w:right w:val="nil"/>
                  </w:tcBorders>
                  <w:shd w:val="clear" w:color="auto" w:fill="auto"/>
                  <w:vAlign w:val="center"/>
                  <w:hideMark/>
                </w:tcPr>
                <w:p w14:paraId="5BE984D1" w14:textId="77777777" w:rsidR="00C83526" w:rsidRPr="00EC7385" w:rsidRDefault="00C83526" w:rsidP="00334DC8">
                  <w:pPr>
                    <w:widowControl/>
                    <w:autoSpaceDE/>
                    <w:autoSpaceDN/>
                    <w:jc w:val="right"/>
                    <w:rPr>
                      <w:color w:val="000000"/>
                      <w:lang w:eastAsia="zh-CN"/>
                    </w:rPr>
                  </w:pPr>
                </w:p>
              </w:tc>
              <w:tc>
                <w:tcPr>
                  <w:tcW w:w="1595" w:type="dxa"/>
                  <w:tcBorders>
                    <w:top w:val="nil"/>
                    <w:left w:val="nil"/>
                    <w:bottom w:val="nil"/>
                    <w:right w:val="nil"/>
                  </w:tcBorders>
                  <w:shd w:val="clear" w:color="auto" w:fill="auto"/>
                  <w:vAlign w:val="center"/>
                  <w:hideMark/>
                </w:tcPr>
                <w:p w14:paraId="28993040" w14:textId="77777777" w:rsidR="00C83526" w:rsidRPr="00EC7385" w:rsidRDefault="00C83526" w:rsidP="00334DC8">
                  <w:pPr>
                    <w:widowControl/>
                    <w:autoSpaceDE/>
                    <w:autoSpaceDN/>
                    <w:jc w:val="right"/>
                    <w:rPr>
                      <w:color w:val="000000"/>
                      <w:lang w:eastAsia="zh-CN"/>
                    </w:rPr>
                  </w:pPr>
                  <w:r w:rsidRPr="00EC7385">
                    <w:rPr>
                      <w:color w:val="000000"/>
                      <w:lang w:eastAsia="zh-CN"/>
                    </w:rPr>
                    <w:t>18.49%</w:t>
                  </w:r>
                </w:p>
              </w:tc>
              <w:tc>
                <w:tcPr>
                  <w:tcW w:w="596" w:type="dxa"/>
                  <w:tcBorders>
                    <w:top w:val="nil"/>
                    <w:left w:val="nil"/>
                    <w:bottom w:val="nil"/>
                    <w:right w:val="nil"/>
                  </w:tcBorders>
                  <w:shd w:val="clear" w:color="auto" w:fill="auto"/>
                  <w:vAlign w:val="center"/>
                  <w:hideMark/>
                </w:tcPr>
                <w:p w14:paraId="17DCD76D" w14:textId="77777777" w:rsidR="00C83526" w:rsidRPr="00EC7385" w:rsidRDefault="00C83526" w:rsidP="00334DC8">
                  <w:pPr>
                    <w:widowControl/>
                    <w:autoSpaceDE/>
                    <w:autoSpaceDN/>
                    <w:jc w:val="right"/>
                    <w:rPr>
                      <w:color w:val="000000"/>
                      <w:lang w:eastAsia="zh-CN"/>
                    </w:rPr>
                  </w:pPr>
                </w:p>
              </w:tc>
              <w:tc>
                <w:tcPr>
                  <w:tcW w:w="1500" w:type="dxa"/>
                  <w:gridSpan w:val="3"/>
                  <w:tcBorders>
                    <w:top w:val="nil"/>
                    <w:left w:val="nil"/>
                    <w:bottom w:val="nil"/>
                    <w:right w:val="nil"/>
                  </w:tcBorders>
                  <w:shd w:val="clear" w:color="auto" w:fill="auto"/>
                  <w:vAlign w:val="center"/>
                  <w:hideMark/>
                </w:tcPr>
                <w:p w14:paraId="0E4131B7" w14:textId="77777777" w:rsidR="00C83526" w:rsidRPr="00EC7385" w:rsidRDefault="00C83526" w:rsidP="00334DC8">
                  <w:pPr>
                    <w:widowControl/>
                    <w:autoSpaceDE/>
                    <w:autoSpaceDN/>
                    <w:jc w:val="right"/>
                    <w:rPr>
                      <w:color w:val="000000"/>
                      <w:lang w:eastAsia="zh-CN"/>
                    </w:rPr>
                  </w:pPr>
                  <w:r w:rsidRPr="00EC7385">
                    <w:rPr>
                      <w:color w:val="000000"/>
                      <w:lang w:eastAsia="zh-CN"/>
                    </w:rPr>
                    <w:t>6,598,800</w:t>
                  </w:r>
                </w:p>
              </w:tc>
              <w:tc>
                <w:tcPr>
                  <w:tcW w:w="244" w:type="dxa"/>
                  <w:tcBorders>
                    <w:top w:val="nil"/>
                    <w:left w:val="nil"/>
                    <w:bottom w:val="nil"/>
                    <w:right w:val="nil"/>
                  </w:tcBorders>
                  <w:shd w:val="clear" w:color="auto" w:fill="auto"/>
                  <w:vAlign w:val="center"/>
                  <w:hideMark/>
                </w:tcPr>
                <w:p w14:paraId="761CE709" w14:textId="77777777" w:rsidR="00C83526" w:rsidRPr="00EC7385" w:rsidRDefault="00C83526" w:rsidP="00334DC8">
                  <w:pPr>
                    <w:widowControl/>
                    <w:autoSpaceDE/>
                    <w:autoSpaceDN/>
                    <w:jc w:val="right"/>
                    <w:rPr>
                      <w:color w:val="000000"/>
                      <w:lang w:eastAsia="zh-CN"/>
                    </w:rPr>
                  </w:pPr>
                </w:p>
              </w:tc>
              <w:tc>
                <w:tcPr>
                  <w:tcW w:w="1723" w:type="dxa"/>
                  <w:gridSpan w:val="3"/>
                  <w:tcBorders>
                    <w:top w:val="nil"/>
                    <w:left w:val="nil"/>
                    <w:bottom w:val="nil"/>
                    <w:right w:val="nil"/>
                  </w:tcBorders>
                  <w:shd w:val="clear" w:color="auto" w:fill="auto"/>
                  <w:vAlign w:val="center"/>
                  <w:hideMark/>
                </w:tcPr>
                <w:p w14:paraId="4DD82EE4" w14:textId="77777777" w:rsidR="00C83526" w:rsidRPr="00EC7385" w:rsidRDefault="00C83526" w:rsidP="00334DC8">
                  <w:pPr>
                    <w:widowControl/>
                    <w:autoSpaceDE/>
                    <w:autoSpaceDN/>
                    <w:jc w:val="right"/>
                    <w:rPr>
                      <w:color w:val="000000"/>
                      <w:lang w:eastAsia="zh-CN"/>
                    </w:rPr>
                  </w:pPr>
                  <w:r w:rsidRPr="00EC7385">
                    <w:rPr>
                      <w:color w:val="000000"/>
                      <w:lang w:eastAsia="zh-CN"/>
                    </w:rPr>
                    <w:t>15.41%</w:t>
                  </w:r>
                </w:p>
              </w:tc>
            </w:tr>
            <w:tr w:rsidR="00C83526" w:rsidRPr="00EC7385" w14:paraId="30598C3E" w14:textId="77777777" w:rsidTr="000C023B">
              <w:trPr>
                <w:trHeight w:val="890"/>
              </w:trPr>
              <w:tc>
                <w:tcPr>
                  <w:tcW w:w="1897" w:type="dxa"/>
                  <w:tcBorders>
                    <w:top w:val="nil"/>
                    <w:left w:val="nil"/>
                    <w:bottom w:val="nil"/>
                    <w:right w:val="nil"/>
                  </w:tcBorders>
                  <w:shd w:val="clear" w:color="auto" w:fill="auto"/>
                  <w:vAlign w:val="center"/>
                  <w:hideMark/>
                </w:tcPr>
                <w:p w14:paraId="3602A6B9" w14:textId="77777777" w:rsidR="00183B08" w:rsidRDefault="00183B08" w:rsidP="00334DC8">
                  <w:pPr>
                    <w:widowControl/>
                    <w:autoSpaceDE/>
                    <w:autoSpaceDN/>
                    <w:rPr>
                      <w:sz w:val="24"/>
                      <w:szCs w:val="24"/>
                    </w:rPr>
                  </w:pPr>
                  <w:r w:rsidRPr="002D5250">
                    <w:rPr>
                      <w:sz w:val="24"/>
                      <w:szCs w:val="24"/>
                    </w:rPr>
                    <w:t>楊振宇先生</w:t>
                  </w:r>
                </w:p>
                <w:p w14:paraId="0342643E" w14:textId="2F283EEC" w:rsidR="00C83526" w:rsidRPr="00EC7385" w:rsidRDefault="000C1493" w:rsidP="00334DC8">
                  <w:pPr>
                    <w:widowControl/>
                    <w:autoSpaceDE/>
                    <w:autoSpaceDN/>
                    <w:rPr>
                      <w:color w:val="000000"/>
                      <w:lang w:eastAsia="zh-CN"/>
                    </w:rPr>
                  </w:pPr>
                  <w:r>
                    <w:t>(附注 2)</w:t>
                  </w:r>
                </w:p>
              </w:tc>
              <w:tc>
                <w:tcPr>
                  <w:tcW w:w="1523" w:type="dxa"/>
                  <w:tcBorders>
                    <w:top w:val="nil"/>
                    <w:left w:val="nil"/>
                    <w:bottom w:val="nil"/>
                    <w:right w:val="nil"/>
                  </w:tcBorders>
                  <w:shd w:val="clear" w:color="auto" w:fill="auto"/>
                  <w:vAlign w:val="center"/>
                  <w:hideMark/>
                </w:tcPr>
                <w:p w14:paraId="250C499C" w14:textId="77777777" w:rsidR="00C83526" w:rsidRPr="00EC7385" w:rsidRDefault="00C83526" w:rsidP="00334DC8">
                  <w:pPr>
                    <w:widowControl/>
                    <w:autoSpaceDE/>
                    <w:autoSpaceDN/>
                    <w:jc w:val="right"/>
                    <w:rPr>
                      <w:color w:val="000000"/>
                      <w:lang w:eastAsia="zh-CN"/>
                    </w:rPr>
                  </w:pPr>
                  <w:r w:rsidRPr="00EC7385">
                    <w:rPr>
                      <w:color w:val="000000"/>
                      <w:lang w:eastAsia="zh-CN"/>
                    </w:rPr>
                    <w:t>1,520,000</w:t>
                  </w:r>
                </w:p>
              </w:tc>
              <w:tc>
                <w:tcPr>
                  <w:tcW w:w="275" w:type="dxa"/>
                  <w:tcBorders>
                    <w:top w:val="nil"/>
                    <w:left w:val="nil"/>
                    <w:bottom w:val="nil"/>
                    <w:right w:val="nil"/>
                  </w:tcBorders>
                  <w:shd w:val="clear" w:color="auto" w:fill="auto"/>
                  <w:vAlign w:val="center"/>
                  <w:hideMark/>
                </w:tcPr>
                <w:p w14:paraId="6370AA28" w14:textId="77777777" w:rsidR="00C83526" w:rsidRPr="00EC7385" w:rsidRDefault="00C83526" w:rsidP="00334DC8">
                  <w:pPr>
                    <w:widowControl/>
                    <w:autoSpaceDE/>
                    <w:autoSpaceDN/>
                    <w:jc w:val="right"/>
                    <w:rPr>
                      <w:color w:val="000000"/>
                      <w:lang w:eastAsia="zh-CN"/>
                    </w:rPr>
                  </w:pPr>
                </w:p>
              </w:tc>
              <w:tc>
                <w:tcPr>
                  <w:tcW w:w="1595" w:type="dxa"/>
                  <w:tcBorders>
                    <w:top w:val="nil"/>
                    <w:left w:val="nil"/>
                    <w:bottom w:val="nil"/>
                    <w:right w:val="nil"/>
                  </w:tcBorders>
                  <w:shd w:val="clear" w:color="auto" w:fill="auto"/>
                  <w:vAlign w:val="center"/>
                  <w:hideMark/>
                </w:tcPr>
                <w:p w14:paraId="743CB21F" w14:textId="77777777" w:rsidR="00C83526" w:rsidRPr="00EC7385" w:rsidRDefault="00C83526" w:rsidP="00334DC8">
                  <w:pPr>
                    <w:widowControl/>
                    <w:autoSpaceDE/>
                    <w:autoSpaceDN/>
                    <w:jc w:val="right"/>
                    <w:rPr>
                      <w:color w:val="000000"/>
                      <w:lang w:eastAsia="zh-CN"/>
                    </w:rPr>
                  </w:pPr>
                  <w:r w:rsidRPr="00EC7385">
                    <w:rPr>
                      <w:color w:val="000000"/>
                      <w:lang w:eastAsia="zh-CN"/>
                    </w:rPr>
                    <w:t>4.26%</w:t>
                  </w:r>
                </w:p>
              </w:tc>
              <w:tc>
                <w:tcPr>
                  <w:tcW w:w="596" w:type="dxa"/>
                  <w:tcBorders>
                    <w:top w:val="nil"/>
                    <w:left w:val="nil"/>
                    <w:bottom w:val="nil"/>
                    <w:right w:val="nil"/>
                  </w:tcBorders>
                  <w:shd w:val="clear" w:color="auto" w:fill="auto"/>
                  <w:vAlign w:val="center"/>
                  <w:hideMark/>
                </w:tcPr>
                <w:p w14:paraId="578A3730" w14:textId="77777777" w:rsidR="00C83526" w:rsidRPr="00EC7385" w:rsidRDefault="00C83526" w:rsidP="00334DC8">
                  <w:pPr>
                    <w:widowControl/>
                    <w:autoSpaceDE/>
                    <w:autoSpaceDN/>
                    <w:jc w:val="right"/>
                    <w:rPr>
                      <w:color w:val="000000"/>
                      <w:lang w:eastAsia="zh-CN"/>
                    </w:rPr>
                  </w:pPr>
                </w:p>
              </w:tc>
              <w:tc>
                <w:tcPr>
                  <w:tcW w:w="1500" w:type="dxa"/>
                  <w:gridSpan w:val="3"/>
                  <w:tcBorders>
                    <w:top w:val="nil"/>
                    <w:left w:val="nil"/>
                    <w:bottom w:val="nil"/>
                    <w:right w:val="nil"/>
                  </w:tcBorders>
                  <w:shd w:val="clear" w:color="auto" w:fill="auto"/>
                  <w:vAlign w:val="center"/>
                  <w:hideMark/>
                </w:tcPr>
                <w:p w14:paraId="6C7403E0" w14:textId="77777777" w:rsidR="00C83526" w:rsidRPr="00EC7385" w:rsidRDefault="00C83526" w:rsidP="00334DC8">
                  <w:pPr>
                    <w:widowControl/>
                    <w:autoSpaceDE/>
                    <w:autoSpaceDN/>
                    <w:jc w:val="right"/>
                    <w:rPr>
                      <w:color w:val="000000"/>
                      <w:lang w:eastAsia="zh-CN"/>
                    </w:rPr>
                  </w:pPr>
                  <w:r w:rsidRPr="00EC7385">
                    <w:rPr>
                      <w:color w:val="000000"/>
                      <w:lang w:eastAsia="zh-CN"/>
                    </w:rPr>
                    <w:t>1,520,000</w:t>
                  </w:r>
                </w:p>
              </w:tc>
              <w:tc>
                <w:tcPr>
                  <w:tcW w:w="244" w:type="dxa"/>
                  <w:tcBorders>
                    <w:top w:val="nil"/>
                    <w:left w:val="nil"/>
                    <w:bottom w:val="nil"/>
                    <w:right w:val="nil"/>
                  </w:tcBorders>
                  <w:shd w:val="clear" w:color="auto" w:fill="auto"/>
                  <w:vAlign w:val="center"/>
                  <w:hideMark/>
                </w:tcPr>
                <w:p w14:paraId="39C5A79B" w14:textId="77777777" w:rsidR="00C83526" w:rsidRPr="00EC7385" w:rsidRDefault="00C83526" w:rsidP="00334DC8">
                  <w:pPr>
                    <w:widowControl/>
                    <w:autoSpaceDE/>
                    <w:autoSpaceDN/>
                    <w:jc w:val="right"/>
                    <w:rPr>
                      <w:color w:val="000000"/>
                      <w:lang w:eastAsia="zh-CN"/>
                    </w:rPr>
                  </w:pPr>
                </w:p>
              </w:tc>
              <w:tc>
                <w:tcPr>
                  <w:tcW w:w="1723" w:type="dxa"/>
                  <w:gridSpan w:val="3"/>
                  <w:tcBorders>
                    <w:top w:val="nil"/>
                    <w:left w:val="nil"/>
                    <w:bottom w:val="nil"/>
                    <w:right w:val="nil"/>
                  </w:tcBorders>
                  <w:shd w:val="clear" w:color="auto" w:fill="auto"/>
                  <w:vAlign w:val="center"/>
                  <w:hideMark/>
                </w:tcPr>
                <w:p w14:paraId="6EBBA944" w14:textId="77777777" w:rsidR="00C83526" w:rsidRPr="00EC7385" w:rsidRDefault="00C83526" w:rsidP="00334DC8">
                  <w:pPr>
                    <w:widowControl/>
                    <w:autoSpaceDE/>
                    <w:autoSpaceDN/>
                    <w:jc w:val="right"/>
                    <w:rPr>
                      <w:color w:val="000000"/>
                      <w:lang w:eastAsia="zh-CN"/>
                    </w:rPr>
                  </w:pPr>
                  <w:r w:rsidRPr="00EC7385">
                    <w:rPr>
                      <w:color w:val="000000"/>
                      <w:lang w:eastAsia="zh-CN"/>
                    </w:rPr>
                    <w:t>3.55%</w:t>
                  </w:r>
                </w:p>
              </w:tc>
            </w:tr>
            <w:tr w:rsidR="00C83526" w:rsidRPr="00EC7385" w14:paraId="16F7A08A" w14:textId="77777777" w:rsidTr="000C023B">
              <w:trPr>
                <w:trHeight w:val="800"/>
              </w:trPr>
              <w:tc>
                <w:tcPr>
                  <w:tcW w:w="1897" w:type="dxa"/>
                  <w:tcBorders>
                    <w:top w:val="nil"/>
                    <w:left w:val="nil"/>
                    <w:bottom w:val="nil"/>
                    <w:right w:val="nil"/>
                  </w:tcBorders>
                  <w:shd w:val="clear" w:color="auto" w:fill="auto"/>
                  <w:vAlign w:val="center"/>
                  <w:hideMark/>
                </w:tcPr>
                <w:p w14:paraId="3299EAB3" w14:textId="77777777" w:rsidR="004F1F8D" w:rsidRDefault="004F1F8D" w:rsidP="00334DC8">
                  <w:pPr>
                    <w:widowControl/>
                    <w:autoSpaceDE/>
                    <w:autoSpaceDN/>
                    <w:rPr>
                      <w:sz w:val="24"/>
                      <w:szCs w:val="24"/>
                    </w:rPr>
                  </w:pPr>
                  <w:r w:rsidRPr="002D5250">
                    <w:rPr>
                      <w:sz w:val="24"/>
                      <w:szCs w:val="24"/>
                    </w:rPr>
                    <w:t>許永權先生</w:t>
                  </w:r>
                </w:p>
                <w:p w14:paraId="7665E7C8" w14:textId="0D8496CD" w:rsidR="00C83526" w:rsidRPr="00EC7385" w:rsidRDefault="000C1493" w:rsidP="00334DC8">
                  <w:pPr>
                    <w:widowControl/>
                    <w:autoSpaceDE/>
                    <w:autoSpaceDN/>
                    <w:rPr>
                      <w:color w:val="000000"/>
                      <w:lang w:eastAsia="zh-CN"/>
                    </w:rPr>
                  </w:pPr>
                  <w:r>
                    <w:t>(附注 3)</w:t>
                  </w:r>
                </w:p>
              </w:tc>
              <w:tc>
                <w:tcPr>
                  <w:tcW w:w="1523" w:type="dxa"/>
                  <w:tcBorders>
                    <w:top w:val="nil"/>
                    <w:left w:val="nil"/>
                    <w:bottom w:val="nil"/>
                    <w:right w:val="nil"/>
                  </w:tcBorders>
                  <w:shd w:val="clear" w:color="auto" w:fill="auto"/>
                  <w:vAlign w:val="center"/>
                  <w:hideMark/>
                </w:tcPr>
                <w:p w14:paraId="3E79EBE0" w14:textId="77777777" w:rsidR="00C83526" w:rsidRPr="00EC7385" w:rsidRDefault="00C83526" w:rsidP="00334DC8">
                  <w:pPr>
                    <w:widowControl/>
                    <w:autoSpaceDE/>
                    <w:autoSpaceDN/>
                    <w:jc w:val="right"/>
                    <w:rPr>
                      <w:color w:val="000000"/>
                      <w:lang w:eastAsia="zh-CN"/>
                    </w:rPr>
                  </w:pPr>
                  <w:r w:rsidRPr="00EC7385">
                    <w:rPr>
                      <w:color w:val="000000"/>
                      <w:lang w:eastAsia="zh-CN"/>
                    </w:rPr>
                    <w:t>900,000</w:t>
                  </w:r>
                </w:p>
              </w:tc>
              <w:tc>
                <w:tcPr>
                  <w:tcW w:w="275" w:type="dxa"/>
                  <w:tcBorders>
                    <w:top w:val="nil"/>
                    <w:left w:val="nil"/>
                    <w:bottom w:val="nil"/>
                    <w:right w:val="nil"/>
                  </w:tcBorders>
                  <w:shd w:val="clear" w:color="auto" w:fill="auto"/>
                  <w:vAlign w:val="center"/>
                  <w:hideMark/>
                </w:tcPr>
                <w:p w14:paraId="665AD2E7" w14:textId="77777777" w:rsidR="00C83526" w:rsidRPr="00EC7385" w:rsidRDefault="00C83526" w:rsidP="00334DC8">
                  <w:pPr>
                    <w:widowControl/>
                    <w:autoSpaceDE/>
                    <w:autoSpaceDN/>
                    <w:jc w:val="right"/>
                    <w:rPr>
                      <w:color w:val="000000"/>
                      <w:lang w:eastAsia="zh-CN"/>
                    </w:rPr>
                  </w:pPr>
                </w:p>
              </w:tc>
              <w:tc>
                <w:tcPr>
                  <w:tcW w:w="1595" w:type="dxa"/>
                  <w:tcBorders>
                    <w:top w:val="nil"/>
                    <w:left w:val="nil"/>
                    <w:bottom w:val="nil"/>
                    <w:right w:val="nil"/>
                  </w:tcBorders>
                  <w:shd w:val="clear" w:color="auto" w:fill="auto"/>
                  <w:vAlign w:val="center"/>
                  <w:hideMark/>
                </w:tcPr>
                <w:p w14:paraId="4559E2A7" w14:textId="77777777" w:rsidR="00C83526" w:rsidRPr="00EC7385" w:rsidRDefault="00C83526" w:rsidP="00334DC8">
                  <w:pPr>
                    <w:widowControl/>
                    <w:autoSpaceDE/>
                    <w:autoSpaceDN/>
                    <w:jc w:val="right"/>
                    <w:rPr>
                      <w:color w:val="000000"/>
                      <w:lang w:eastAsia="zh-CN"/>
                    </w:rPr>
                  </w:pPr>
                  <w:r w:rsidRPr="00EC7385">
                    <w:rPr>
                      <w:color w:val="000000"/>
                      <w:lang w:eastAsia="zh-CN"/>
                    </w:rPr>
                    <w:t>2.52%</w:t>
                  </w:r>
                </w:p>
              </w:tc>
              <w:tc>
                <w:tcPr>
                  <w:tcW w:w="596" w:type="dxa"/>
                  <w:tcBorders>
                    <w:top w:val="nil"/>
                    <w:left w:val="nil"/>
                    <w:bottom w:val="nil"/>
                    <w:right w:val="nil"/>
                  </w:tcBorders>
                  <w:shd w:val="clear" w:color="auto" w:fill="auto"/>
                  <w:vAlign w:val="center"/>
                  <w:hideMark/>
                </w:tcPr>
                <w:p w14:paraId="2458E860" w14:textId="77777777" w:rsidR="00C83526" w:rsidRPr="00EC7385" w:rsidRDefault="00C83526" w:rsidP="00334DC8">
                  <w:pPr>
                    <w:widowControl/>
                    <w:autoSpaceDE/>
                    <w:autoSpaceDN/>
                    <w:jc w:val="right"/>
                    <w:rPr>
                      <w:color w:val="000000"/>
                      <w:lang w:eastAsia="zh-CN"/>
                    </w:rPr>
                  </w:pPr>
                </w:p>
              </w:tc>
              <w:tc>
                <w:tcPr>
                  <w:tcW w:w="1500" w:type="dxa"/>
                  <w:gridSpan w:val="3"/>
                  <w:tcBorders>
                    <w:top w:val="nil"/>
                    <w:left w:val="nil"/>
                    <w:bottom w:val="nil"/>
                    <w:right w:val="nil"/>
                  </w:tcBorders>
                  <w:shd w:val="clear" w:color="auto" w:fill="auto"/>
                  <w:vAlign w:val="center"/>
                  <w:hideMark/>
                </w:tcPr>
                <w:p w14:paraId="01D77E33" w14:textId="77777777" w:rsidR="00C83526" w:rsidRPr="00EC7385" w:rsidRDefault="00C83526" w:rsidP="00334DC8">
                  <w:pPr>
                    <w:widowControl/>
                    <w:autoSpaceDE/>
                    <w:autoSpaceDN/>
                    <w:jc w:val="right"/>
                    <w:rPr>
                      <w:color w:val="000000"/>
                      <w:lang w:eastAsia="zh-CN"/>
                    </w:rPr>
                  </w:pPr>
                  <w:r w:rsidRPr="00EC7385">
                    <w:rPr>
                      <w:color w:val="000000"/>
                      <w:lang w:eastAsia="zh-CN"/>
                    </w:rPr>
                    <w:t>900,000</w:t>
                  </w:r>
                </w:p>
              </w:tc>
              <w:tc>
                <w:tcPr>
                  <w:tcW w:w="244" w:type="dxa"/>
                  <w:tcBorders>
                    <w:top w:val="nil"/>
                    <w:left w:val="nil"/>
                    <w:bottom w:val="nil"/>
                    <w:right w:val="nil"/>
                  </w:tcBorders>
                  <w:shd w:val="clear" w:color="auto" w:fill="auto"/>
                  <w:vAlign w:val="center"/>
                  <w:hideMark/>
                </w:tcPr>
                <w:p w14:paraId="43111D67" w14:textId="77777777" w:rsidR="00C83526" w:rsidRPr="00EC7385" w:rsidRDefault="00C83526" w:rsidP="00334DC8">
                  <w:pPr>
                    <w:widowControl/>
                    <w:autoSpaceDE/>
                    <w:autoSpaceDN/>
                    <w:jc w:val="right"/>
                    <w:rPr>
                      <w:color w:val="000000"/>
                      <w:lang w:eastAsia="zh-CN"/>
                    </w:rPr>
                  </w:pPr>
                </w:p>
              </w:tc>
              <w:tc>
                <w:tcPr>
                  <w:tcW w:w="1723" w:type="dxa"/>
                  <w:gridSpan w:val="3"/>
                  <w:tcBorders>
                    <w:top w:val="nil"/>
                    <w:left w:val="nil"/>
                    <w:bottom w:val="nil"/>
                    <w:right w:val="nil"/>
                  </w:tcBorders>
                  <w:shd w:val="clear" w:color="auto" w:fill="auto"/>
                  <w:vAlign w:val="center"/>
                  <w:hideMark/>
                </w:tcPr>
                <w:p w14:paraId="02A1DF13" w14:textId="77777777" w:rsidR="00C83526" w:rsidRPr="00EC7385" w:rsidRDefault="00C83526" w:rsidP="00334DC8">
                  <w:pPr>
                    <w:widowControl/>
                    <w:autoSpaceDE/>
                    <w:autoSpaceDN/>
                    <w:jc w:val="right"/>
                    <w:rPr>
                      <w:color w:val="000000"/>
                      <w:lang w:eastAsia="zh-CN"/>
                    </w:rPr>
                  </w:pPr>
                  <w:r w:rsidRPr="00EC7385">
                    <w:rPr>
                      <w:color w:val="000000"/>
                      <w:lang w:eastAsia="zh-CN"/>
                    </w:rPr>
                    <w:t>2.10%</w:t>
                  </w:r>
                </w:p>
              </w:tc>
            </w:tr>
            <w:tr w:rsidR="00065FB2" w:rsidRPr="00EC7385" w14:paraId="4476374D" w14:textId="77777777" w:rsidTr="000C023B">
              <w:trPr>
                <w:trHeight w:val="670"/>
              </w:trPr>
              <w:tc>
                <w:tcPr>
                  <w:tcW w:w="1897" w:type="dxa"/>
                  <w:tcBorders>
                    <w:top w:val="nil"/>
                    <w:left w:val="nil"/>
                    <w:bottom w:val="nil"/>
                    <w:right w:val="nil"/>
                  </w:tcBorders>
                  <w:shd w:val="clear" w:color="auto" w:fill="auto"/>
                  <w:vAlign w:val="center"/>
                  <w:hideMark/>
                </w:tcPr>
                <w:p w14:paraId="34D6904C" w14:textId="43F344D6" w:rsidR="00065FB2" w:rsidRPr="00EC7385" w:rsidRDefault="00065FB2" w:rsidP="00065FB2">
                  <w:pPr>
                    <w:widowControl/>
                    <w:autoSpaceDE/>
                    <w:autoSpaceDN/>
                    <w:rPr>
                      <w:color w:val="000000"/>
                      <w:lang w:eastAsia="zh-CN"/>
                    </w:rPr>
                  </w:pPr>
                  <w:r>
                    <w:t>認購</w:t>
                  </w:r>
                  <w:r>
                    <w:rPr>
                      <w:rFonts w:hAnsi="PMingLiU" w:hint="eastAsia"/>
                    </w:rPr>
                    <w:t>人</w:t>
                  </w:r>
                </w:p>
              </w:tc>
              <w:tc>
                <w:tcPr>
                  <w:tcW w:w="1523" w:type="dxa"/>
                  <w:tcBorders>
                    <w:top w:val="nil"/>
                    <w:left w:val="nil"/>
                    <w:bottom w:val="nil"/>
                    <w:right w:val="nil"/>
                  </w:tcBorders>
                  <w:shd w:val="clear" w:color="auto" w:fill="auto"/>
                  <w:vAlign w:val="center"/>
                  <w:hideMark/>
                </w:tcPr>
                <w:p w14:paraId="266A8D00" w14:textId="44C64640" w:rsidR="00065FB2" w:rsidRPr="00EC7385" w:rsidRDefault="00065FB2" w:rsidP="00065FB2">
                  <w:pPr>
                    <w:widowControl/>
                    <w:autoSpaceDE/>
                    <w:autoSpaceDN/>
                    <w:jc w:val="right"/>
                    <w:rPr>
                      <w:color w:val="000000"/>
                      <w:lang w:eastAsia="zh-CN"/>
                    </w:rPr>
                  </w:pPr>
                  <w:r>
                    <w:rPr>
                      <w:color w:val="000000"/>
                      <w:lang w:eastAsia="zh-CN"/>
                    </w:rPr>
                    <w:t>280,000</w:t>
                  </w:r>
                </w:p>
              </w:tc>
              <w:tc>
                <w:tcPr>
                  <w:tcW w:w="275" w:type="dxa"/>
                  <w:tcBorders>
                    <w:top w:val="nil"/>
                    <w:left w:val="nil"/>
                    <w:bottom w:val="nil"/>
                    <w:right w:val="nil"/>
                  </w:tcBorders>
                  <w:shd w:val="clear" w:color="auto" w:fill="auto"/>
                  <w:vAlign w:val="center"/>
                  <w:hideMark/>
                </w:tcPr>
                <w:p w14:paraId="60B00739" w14:textId="77777777" w:rsidR="00065FB2" w:rsidRPr="00EC7385" w:rsidRDefault="00065FB2" w:rsidP="00065FB2">
                  <w:pPr>
                    <w:widowControl/>
                    <w:autoSpaceDE/>
                    <w:autoSpaceDN/>
                    <w:jc w:val="right"/>
                    <w:rPr>
                      <w:color w:val="000000"/>
                      <w:lang w:eastAsia="zh-CN"/>
                    </w:rPr>
                  </w:pPr>
                </w:p>
              </w:tc>
              <w:tc>
                <w:tcPr>
                  <w:tcW w:w="1595" w:type="dxa"/>
                  <w:tcBorders>
                    <w:top w:val="nil"/>
                    <w:left w:val="nil"/>
                    <w:bottom w:val="nil"/>
                    <w:right w:val="nil"/>
                  </w:tcBorders>
                  <w:shd w:val="clear" w:color="auto" w:fill="auto"/>
                  <w:vAlign w:val="center"/>
                  <w:hideMark/>
                </w:tcPr>
                <w:p w14:paraId="5C1207D2" w14:textId="64BF6B5A" w:rsidR="00065FB2" w:rsidRPr="00EC7385" w:rsidRDefault="00065FB2" w:rsidP="00065FB2">
                  <w:pPr>
                    <w:widowControl/>
                    <w:autoSpaceDE/>
                    <w:autoSpaceDN/>
                    <w:jc w:val="right"/>
                    <w:rPr>
                      <w:color w:val="000000"/>
                      <w:lang w:eastAsia="zh-CN"/>
                    </w:rPr>
                  </w:pPr>
                  <w:r>
                    <w:rPr>
                      <w:color w:val="000000"/>
                      <w:lang w:eastAsia="zh-CN"/>
                    </w:rPr>
                    <w:t>0.78%</w:t>
                  </w:r>
                </w:p>
              </w:tc>
              <w:tc>
                <w:tcPr>
                  <w:tcW w:w="596" w:type="dxa"/>
                  <w:tcBorders>
                    <w:top w:val="nil"/>
                    <w:left w:val="nil"/>
                    <w:bottom w:val="nil"/>
                    <w:right w:val="nil"/>
                  </w:tcBorders>
                  <w:shd w:val="clear" w:color="auto" w:fill="auto"/>
                  <w:vAlign w:val="center"/>
                  <w:hideMark/>
                </w:tcPr>
                <w:p w14:paraId="3AC2F5A1" w14:textId="77777777" w:rsidR="00065FB2" w:rsidRPr="00EC7385" w:rsidRDefault="00065FB2" w:rsidP="00065FB2">
                  <w:pPr>
                    <w:widowControl/>
                    <w:autoSpaceDE/>
                    <w:autoSpaceDN/>
                    <w:jc w:val="right"/>
                    <w:rPr>
                      <w:color w:val="000000"/>
                      <w:lang w:eastAsia="zh-CN"/>
                    </w:rPr>
                  </w:pPr>
                </w:p>
              </w:tc>
              <w:tc>
                <w:tcPr>
                  <w:tcW w:w="1500" w:type="dxa"/>
                  <w:gridSpan w:val="3"/>
                  <w:tcBorders>
                    <w:top w:val="nil"/>
                    <w:left w:val="nil"/>
                    <w:bottom w:val="nil"/>
                    <w:right w:val="nil"/>
                  </w:tcBorders>
                  <w:shd w:val="clear" w:color="auto" w:fill="auto"/>
                  <w:vAlign w:val="center"/>
                  <w:hideMark/>
                </w:tcPr>
                <w:p w14:paraId="6456025E" w14:textId="1DC09A72" w:rsidR="00065FB2" w:rsidRPr="00EC7385" w:rsidRDefault="00065FB2" w:rsidP="00065FB2">
                  <w:pPr>
                    <w:widowControl/>
                    <w:autoSpaceDE/>
                    <w:autoSpaceDN/>
                    <w:jc w:val="right"/>
                    <w:rPr>
                      <w:color w:val="000000"/>
                      <w:lang w:eastAsia="zh-CN"/>
                    </w:rPr>
                  </w:pPr>
                  <w:r w:rsidRPr="00EC7385">
                    <w:rPr>
                      <w:color w:val="000000"/>
                      <w:lang w:eastAsia="zh-CN"/>
                    </w:rPr>
                    <w:t>7,</w:t>
                  </w:r>
                  <w:r>
                    <w:rPr>
                      <w:color w:val="000000"/>
                      <w:lang w:eastAsia="zh-CN"/>
                    </w:rPr>
                    <w:t>416,000</w:t>
                  </w:r>
                </w:p>
              </w:tc>
              <w:tc>
                <w:tcPr>
                  <w:tcW w:w="244" w:type="dxa"/>
                  <w:tcBorders>
                    <w:top w:val="nil"/>
                    <w:left w:val="nil"/>
                    <w:bottom w:val="nil"/>
                    <w:right w:val="nil"/>
                  </w:tcBorders>
                  <w:shd w:val="clear" w:color="auto" w:fill="auto"/>
                  <w:vAlign w:val="center"/>
                  <w:hideMark/>
                </w:tcPr>
                <w:p w14:paraId="52A5CB08" w14:textId="77777777" w:rsidR="00065FB2" w:rsidRPr="00EC7385" w:rsidRDefault="00065FB2" w:rsidP="00065FB2">
                  <w:pPr>
                    <w:widowControl/>
                    <w:autoSpaceDE/>
                    <w:autoSpaceDN/>
                    <w:jc w:val="right"/>
                    <w:rPr>
                      <w:color w:val="000000"/>
                      <w:lang w:eastAsia="zh-CN"/>
                    </w:rPr>
                  </w:pPr>
                </w:p>
              </w:tc>
              <w:tc>
                <w:tcPr>
                  <w:tcW w:w="1723" w:type="dxa"/>
                  <w:gridSpan w:val="3"/>
                  <w:tcBorders>
                    <w:top w:val="nil"/>
                    <w:left w:val="nil"/>
                    <w:bottom w:val="nil"/>
                    <w:right w:val="nil"/>
                  </w:tcBorders>
                  <w:shd w:val="clear" w:color="auto" w:fill="auto"/>
                  <w:vAlign w:val="center"/>
                  <w:hideMark/>
                </w:tcPr>
                <w:p w14:paraId="3D6AC78D" w14:textId="548A4F46" w:rsidR="00065FB2" w:rsidRPr="00EC7385" w:rsidRDefault="00065FB2" w:rsidP="00065FB2">
                  <w:pPr>
                    <w:widowControl/>
                    <w:autoSpaceDE/>
                    <w:autoSpaceDN/>
                    <w:jc w:val="right"/>
                    <w:rPr>
                      <w:color w:val="000000"/>
                      <w:lang w:eastAsia="zh-CN"/>
                    </w:rPr>
                  </w:pPr>
                  <w:r>
                    <w:rPr>
                      <w:color w:val="000000"/>
                      <w:lang w:eastAsia="zh-CN"/>
                    </w:rPr>
                    <w:t>17.32</w:t>
                  </w:r>
                  <w:r w:rsidRPr="00EC7385">
                    <w:rPr>
                      <w:color w:val="000000"/>
                      <w:lang w:eastAsia="zh-CN"/>
                    </w:rPr>
                    <w:t>%</w:t>
                  </w:r>
                </w:p>
              </w:tc>
            </w:tr>
            <w:tr w:rsidR="00065FB2" w:rsidRPr="00EC7385" w14:paraId="5C03B0D5" w14:textId="77777777" w:rsidTr="00B20CC9">
              <w:trPr>
                <w:trHeight w:val="920"/>
              </w:trPr>
              <w:tc>
                <w:tcPr>
                  <w:tcW w:w="1897" w:type="dxa"/>
                  <w:tcBorders>
                    <w:top w:val="nil"/>
                    <w:left w:val="nil"/>
                    <w:bottom w:val="nil"/>
                    <w:right w:val="nil"/>
                  </w:tcBorders>
                  <w:shd w:val="clear" w:color="auto" w:fill="auto"/>
                  <w:vAlign w:val="center"/>
                  <w:hideMark/>
                </w:tcPr>
                <w:p w14:paraId="06345EF7" w14:textId="3EFFA5BE" w:rsidR="00065FB2" w:rsidRPr="00EC7385" w:rsidRDefault="00065FB2" w:rsidP="00065FB2">
                  <w:pPr>
                    <w:widowControl/>
                    <w:autoSpaceDE/>
                    <w:autoSpaceDN/>
                    <w:rPr>
                      <w:b/>
                      <w:bCs/>
                      <w:color w:val="000000"/>
                      <w:lang w:eastAsia="zh-CN"/>
                    </w:rPr>
                  </w:pPr>
                  <w:r w:rsidRPr="001C2DC8">
                    <w:rPr>
                      <w:b/>
                      <w:bCs/>
                    </w:rPr>
                    <w:t>其他公眾股</w:t>
                  </w:r>
                  <w:r w:rsidRPr="001C2DC8">
                    <w:rPr>
                      <w:rFonts w:hAnsi="PMingLiU" w:hint="eastAsia"/>
                      <w:b/>
                      <w:bCs/>
                    </w:rPr>
                    <w:t>東</w:t>
                  </w:r>
                </w:p>
              </w:tc>
              <w:tc>
                <w:tcPr>
                  <w:tcW w:w="1523" w:type="dxa"/>
                  <w:tcBorders>
                    <w:top w:val="nil"/>
                    <w:left w:val="nil"/>
                    <w:bottom w:val="single" w:sz="4" w:space="0" w:color="auto"/>
                    <w:right w:val="nil"/>
                  </w:tcBorders>
                  <w:shd w:val="clear" w:color="auto" w:fill="auto"/>
                  <w:vAlign w:val="center"/>
                  <w:hideMark/>
                </w:tcPr>
                <w:p w14:paraId="222BE2FA" w14:textId="5B0A2C4D" w:rsidR="00065FB2" w:rsidRPr="00EC7385" w:rsidRDefault="00065FB2" w:rsidP="00065FB2">
                  <w:pPr>
                    <w:widowControl/>
                    <w:autoSpaceDE/>
                    <w:autoSpaceDN/>
                    <w:jc w:val="right"/>
                    <w:rPr>
                      <w:color w:val="000000"/>
                      <w:lang w:eastAsia="zh-CN"/>
                    </w:rPr>
                  </w:pPr>
                  <w:r w:rsidRPr="00EC7385">
                    <w:rPr>
                      <w:color w:val="000000"/>
                      <w:lang w:eastAsia="zh-CN"/>
                    </w:rPr>
                    <w:t>26,</w:t>
                  </w:r>
                  <w:r>
                    <w:rPr>
                      <w:color w:val="000000"/>
                      <w:lang w:eastAsia="zh-CN"/>
                    </w:rPr>
                    <w:t>382,560</w:t>
                  </w:r>
                </w:p>
              </w:tc>
              <w:tc>
                <w:tcPr>
                  <w:tcW w:w="275" w:type="dxa"/>
                  <w:tcBorders>
                    <w:top w:val="nil"/>
                    <w:left w:val="nil"/>
                    <w:bottom w:val="nil"/>
                    <w:right w:val="nil"/>
                  </w:tcBorders>
                  <w:shd w:val="clear" w:color="auto" w:fill="auto"/>
                  <w:vAlign w:val="center"/>
                  <w:hideMark/>
                </w:tcPr>
                <w:p w14:paraId="08AF61F9" w14:textId="77777777" w:rsidR="00065FB2" w:rsidRPr="00EC7385" w:rsidRDefault="00065FB2" w:rsidP="00065FB2">
                  <w:pPr>
                    <w:widowControl/>
                    <w:autoSpaceDE/>
                    <w:autoSpaceDN/>
                    <w:jc w:val="right"/>
                    <w:rPr>
                      <w:color w:val="000000"/>
                      <w:lang w:eastAsia="zh-CN"/>
                    </w:rPr>
                  </w:pPr>
                </w:p>
              </w:tc>
              <w:tc>
                <w:tcPr>
                  <w:tcW w:w="1595" w:type="dxa"/>
                  <w:tcBorders>
                    <w:top w:val="nil"/>
                    <w:left w:val="nil"/>
                    <w:bottom w:val="single" w:sz="4" w:space="0" w:color="auto"/>
                    <w:right w:val="nil"/>
                  </w:tcBorders>
                  <w:shd w:val="clear" w:color="auto" w:fill="auto"/>
                  <w:vAlign w:val="center"/>
                  <w:hideMark/>
                </w:tcPr>
                <w:p w14:paraId="4B4E3611" w14:textId="630D21EA" w:rsidR="00065FB2" w:rsidRPr="00EC7385" w:rsidRDefault="00065FB2" w:rsidP="00065FB2">
                  <w:pPr>
                    <w:widowControl/>
                    <w:autoSpaceDE/>
                    <w:autoSpaceDN/>
                    <w:jc w:val="right"/>
                    <w:rPr>
                      <w:color w:val="000000"/>
                      <w:lang w:eastAsia="zh-CN"/>
                    </w:rPr>
                  </w:pPr>
                  <w:r w:rsidRPr="00EC7385">
                    <w:rPr>
                      <w:color w:val="000000"/>
                      <w:lang w:eastAsia="zh-CN"/>
                    </w:rPr>
                    <w:t>7</w:t>
                  </w:r>
                  <w:r>
                    <w:rPr>
                      <w:color w:val="000000"/>
                      <w:lang w:eastAsia="zh-CN"/>
                    </w:rPr>
                    <w:t>3.94</w:t>
                  </w:r>
                  <w:r w:rsidRPr="00EC7385">
                    <w:rPr>
                      <w:color w:val="000000"/>
                      <w:lang w:eastAsia="zh-CN"/>
                    </w:rPr>
                    <w:t>%</w:t>
                  </w:r>
                </w:p>
              </w:tc>
              <w:tc>
                <w:tcPr>
                  <w:tcW w:w="596" w:type="dxa"/>
                  <w:tcBorders>
                    <w:top w:val="nil"/>
                    <w:left w:val="nil"/>
                    <w:bottom w:val="nil"/>
                    <w:right w:val="nil"/>
                  </w:tcBorders>
                  <w:shd w:val="clear" w:color="auto" w:fill="auto"/>
                  <w:vAlign w:val="center"/>
                  <w:hideMark/>
                </w:tcPr>
                <w:p w14:paraId="127D1540" w14:textId="77777777" w:rsidR="00065FB2" w:rsidRPr="00EC7385" w:rsidRDefault="00065FB2" w:rsidP="00065FB2">
                  <w:pPr>
                    <w:widowControl/>
                    <w:autoSpaceDE/>
                    <w:autoSpaceDN/>
                    <w:jc w:val="right"/>
                    <w:rPr>
                      <w:color w:val="000000"/>
                      <w:lang w:eastAsia="zh-CN"/>
                    </w:rPr>
                  </w:pPr>
                </w:p>
              </w:tc>
              <w:tc>
                <w:tcPr>
                  <w:tcW w:w="1500" w:type="dxa"/>
                  <w:gridSpan w:val="3"/>
                  <w:tcBorders>
                    <w:top w:val="nil"/>
                    <w:left w:val="nil"/>
                    <w:bottom w:val="single" w:sz="4" w:space="0" w:color="auto"/>
                    <w:right w:val="nil"/>
                  </w:tcBorders>
                  <w:shd w:val="clear" w:color="auto" w:fill="auto"/>
                  <w:vAlign w:val="center"/>
                  <w:hideMark/>
                </w:tcPr>
                <w:p w14:paraId="63A50161" w14:textId="30338807" w:rsidR="00065FB2" w:rsidRPr="00EC7385" w:rsidRDefault="00065FB2" w:rsidP="00065FB2">
                  <w:pPr>
                    <w:widowControl/>
                    <w:autoSpaceDE/>
                    <w:autoSpaceDN/>
                    <w:jc w:val="right"/>
                    <w:rPr>
                      <w:color w:val="000000"/>
                      <w:lang w:eastAsia="zh-CN"/>
                    </w:rPr>
                  </w:pPr>
                  <w:r w:rsidRPr="00EC7385">
                    <w:rPr>
                      <w:color w:val="000000"/>
                      <w:lang w:eastAsia="zh-CN"/>
                    </w:rPr>
                    <w:t>26,</w:t>
                  </w:r>
                  <w:r>
                    <w:rPr>
                      <w:color w:val="000000"/>
                      <w:lang w:eastAsia="zh-CN"/>
                    </w:rPr>
                    <w:t>382,560</w:t>
                  </w:r>
                </w:p>
              </w:tc>
              <w:tc>
                <w:tcPr>
                  <w:tcW w:w="244" w:type="dxa"/>
                  <w:tcBorders>
                    <w:top w:val="nil"/>
                    <w:left w:val="nil"/>
                    <w:bottom w:val="nil"/>
                    <w:right w:val="nil"/>
                  </w:tcBorders>
                  <w:shd w:val="clear" w:color="auto" w:fill="auto"/>
                  <w:vAlign w:val="center"/>
                  <w:hideMark/>
                </w:tcPr>
                <w:p w14:paraId="4C32CADE" w14:textId="77777777" w:rsidR="00065FB2" w:rsidRPr="00EC7385" w:rsidRDefault="00065FB2" w:rsidP="00065FB2">
                  <w:pPr>
                    <w:widowControl/>
                    <w:autoSpaceDE/>
                    <w:autoSpaceDN/>
                    <w:jc w:val="right"/>
                    <w:rPr>
                      <w:color w:val="000000"/>
                      <w:lang w:eastAsia="zh-CN"/>
                    </w:rPr>
                  </w:pPr>
                </w:p>
              </w:tc>
              <w:tc>
                <w:tcPr>
                  <w:tcW w:w="1723" w:type="dxa"/>
                  <w:gridSpan w:val="3"/>
                  <w:tcBorders>
                    <w:top w:val="nil"/>
                    <w:left w:val="nil"/>
                    <w:bottom w:val="single" w:sz="4" w:space="0" w:color="auto"/>
                    <w:right w:val="nil"/>
                  </w:tcBorders>
                  <w:shd w:val="clear" w:color="auto" w:fill="auto"/>
                  <w:vAlign w:val="center"/>
                  <w:hideMark/>
                </w:tcPr>
                <w:p w14:paraId="539D7E50" w14:textId="5A2A02C8" w:rsidR="00065FB2" w:rsidRPr="00EC7385" w:rsidRDefault="00065FB2" w:rsidP="00065FB2">
                  <w:pPr>
                    <w:widowControl/>
                    <w:autoSpaceDE/>
                    <w:autoSpaceDN/>
                    <w:jc w:val="right"/>
                    <w:rPr>
                      <w:color w:val="000000"/>
                      <w:lang w:eastAsia="zh-CN"/>
                    </w:rPr>
                  </w:pPr>
                  <w:r w:rsidRPr="00EC7385">
                    <w:rPr>
                      <w:color w:val="000000"/>
                      <w:lang w:eastAsia="zh-CN"/>
                    </w:rPr>
                    <w:t>6</w:t>
                  </w:r>
                  <w:r>
                    <w:rPr>
                      <w:color w:val="000000"/>
                      <w:lang w:eastAsia="zh-CN"/>
                    </w:rPr>
                    <w:t>1.61</w:t>
                  </w:r>
                  <w:r w:rsidRPr="00EC7385">
                    <w:rPr>
                      <w:color w:val="000000"/>
                      <w:lang w:eastAsia="zh-CN"/>
                    </w:rPr>
                    <w:t>%</w:t>
                  </w:r>
                </w:p>
              </w:tc>
            </w:tr>
            <w:tr w:rsidR="00C83526" w:rsidRPr="00EC7385" w14:paraId="5D9A9000" w14:textId="77777777" w:rsidTr="00B20CC9">
              <w:trPr>
                <w:trHeight w:val="672"/>
              </w:trPr>
              <w:tc>
                <w:tcPr>
                  <w:tcW w:w="1897" w:type="dxa"/>
                  <w:tcBorders>
                    <w:top w:val="nil"/>
                    <w:left w:val="nil"/>
                    <w:bottom w:val="nil"/>
                    <w:right w:val="nil"/>
                  </w:tcBorders>
                  <w:shd w:val="clear" w:color="auto" w:fill="auto"/>
                  <w:vAlign w:val="center"/>
                  <w:hideMark/>
                </w:tcPr>
                <w:p w14:paraId="14A3B931" w14:textId="04216440" w:rsidR="00C83526" w:rsidRPr="00EC7385" w:rsidRDefault="00166BD5" w:rsidP="00334DC8">
                  <w:pPr>
                    <w:widowControl/>
                    <w:autoSpaceDE/>
                    <w:autoSpaceDN/>
                    <w:rPr>
                      <w:b/>
                      <w:bCs/>
                      <w:color w:val="000000"/>
                      <w:lang w:eastAsia="zh-CN"/>
                    </w:rPr>
                  </w:pPr>
                  <w:r w:rsidRPr="00381B71">
                    <w:rPr>
                      <w:b/>
                      <w:bCs/>
                    </w:rPr>
                    <w:t>總</w:t>
                  </w:r>
                  <w:r w:rsidRPr="00381B71">
                    <w:rPr>
                      <w:rFonts w:hAnsi="PMingLiU" w:hint="eastAsia"/>
                      <w:b/>
                      <w:bCs/>
                    </w:rPr>
                    <w:t>計</w:t>
                  </w:r>
                </w:p>
              </w:tc>
              <w:tc>
                <w:tcPr>
                  <w:tcW w:w="1523" w:type="dxa"/>
                  <w:tcBorders>
                    <w:top w:val="nil"/>
                    <w:left w:val="nil"/>
                    <w:bottom w:val="double" w:sz="6" w:space="0" w:color="auto"/>
                    <w:right w:val="nil"/>
                  </w:tcBorders>
                  <w:shd w:val="clear" w:color="auto" w:fill="auto"/>
                  <w:vAlign w:val="center"/>
                  <w:hideMark/>
                </w:tcPr>
                <w:p w14:paraId="68045029" w14:textId="77777777" w:rsidR="00C83526" w:rsidRPr="00EC7385" w:rsidRDefault="00C83526" w:rsidP="00334DC8">
                  <w:pPr>
                    <w:widowControl/>
                    <w:autoSpaceDE/>
                    <w:autoSpaceDN/>
                    <w:jc w:val="right"/>
                    <w:rPr>
                      <w:color w:val="000000"/>
                      <w:lang w:eastAsia="zh-CN"/>
                    </w:rPr>
                  </w:pPr>
                  <w:r w:rsidRPr="00EC7385">
                    <w:rPr>
                      <w:color w:val="000000"/>
                      <w:lang w:eastAsia="zh-CN"/>
                    </w:rPr>
                    <w:t>35,681,360</w:t>
                  </w:r>
                </w:p>
              </w:tc>
              <w:tc>
                <w:tcPr>
                  <w:tcW w:w="275" w:type="dxa"/>
                  <w:tcBorders>
                    <w:top w:val="nil"/>
                    <w:left w:val="nil"/>
                    <w:bottom w:val="nil"/>
                    <w:right w:val="nil"/>
                  </w:tcBorders>
                  <w:shd w:val="clear" w:color="auto" w:fill="auto"/>
                  <w:vAlign w:val="center"/>
                  <w:hideMark/>
                </w:tcPr>
                <w:p w14:paraId="08841A0D" w14:textId="77777777" w:rsidR="00C83526" w:rsidRPr="00EC7385" w:rsidRDefault="00C83526" w:rsidP="00334DC8">
                  <w:pPr>
                    <w:widowControl/>
                    <w:autoSpaceDE/>
                    <w:autoSpaceDN/>
                    <w:jc w:val="right"/>
                    <w:rPr>
                      <w:color w:val="000000"/>
                      <w:lang w:eastAsia="zh-CN"/>
                    </w:rPr>
                  </w:pPr>
                </w:p>
              </w:tc>
              <w:tc>
                <w:tcPr>
                  <w:tcW w:w="1595" w:type="dxa"/>
                  <w:tcBorders>
                    <w:top w:val="nil"/>
                    <w:left w:val="nil"/>
                    <w:bottom w:val="double" w:sz="6" w:space="0" w:color="auto"/>
                    <w:right w:val="nil"/>
                  </w:tcBorders>
                  <w:shd w:val="clear" w:color="auto" w:fill="auto"/>
                  <w:vAlign w:val="center"/>
                  <w:hideMark/>
                </w:tcPr>
                <w:p w14:paraId="4EE82071" w14:textId="77777777" w:rsidR="00C83526" w:rsidRPr="00EC7385" w:rsidRDefault="00C83526" w:rsidP="00334DC8">
                  <w:pPr>
                    <w:widowControl/>
                    <w:autoSpaceDE/>
                    <w:autoSpaceDN/>
                    <w:jc w:val="right"/>
                    <w:rPr>
                      <w:color w:val="000000"/>
                      <w:lang w:eastAsia="zh-CN"/>
                    </w:rPr>
                  </w:pPr>
                  <w:r w:rsidRPr="00EC7385">
                    <w:rPr>
                      <w:color w:val="000000"/>
                      <w:lang w:eastAsia="zh-CN"/>
                    </w:rPr>
                    <w:t>100.00%</w:t>
                  </w:r>
                </w:p>
              </w:tc>
              <w:tc>
                <w:tcPr>
                  <w:tcW w:w="596" w:type="dxa"/>
                  <w:tcBorders>
                    <w:top w:val="nil"/>
                    <w:left w:val="nil"/>
                    <w:bottom w:val="nil"/>
                    <w:right w:val="nil"/>
                  </w:tcBorders>
                  <w:shd w:val="clear" w:color="auto" w:fill="auto"/>
                  <w:vAlign w:val="center"/>
                  <w:hideMark/>
                </w:tcPr>
                <w:p w14:paraId="3A315FF9" w14:textId="77777777" w:rsidR="00C83526" w:rsidRPr="00EC7385" w:rsidRDefault="00C83526" w:rsidP="00334DC8">
                  <w:pPr>
                    <w:widowControl/>
                    <w:autoSpaceDE/>
                    <w:autoSpaceDN/>
                    <w:jc w:val="right"/>
                    <w:rPr>
                      <w:color w:val="000000"/>
                      <w:lang w:eastAsia="zh-CN"/>
                    </w:rPr>
                  </w:pPr>
                </w:p>
              </w:tc>
              <w:tc>
                <w:tcPr>
                  <w:tcW w:w="1500" w:type="dxa"/>
                  <w:gridSpan w:val="3"/>
                  <w:tcBorders>
                    <w:top w:val="nil"/>
                    <w:left w:val="nil"/>
                    <w:bottom w:val="double" w:sz="6" w:space="0" w:color="auto"/>
                    <w:right w:val="nil"/>
                  </w:tcBorders>
                  <w:shd w:val="clear" w:color="auto" w:fill="auto"/>
                  <w:vAlign w:val="center"/>
                  <w:hideMark/>
                </w:tcPr>
                <w:p w14:paraId="133BB3E5" w14:textId="77777777" w:rsidR="00C83526" w:rsidRPr="00EC7385" w:rsidRDefault="00C83526" w:rsidP="00334DC8">
                  <w:pPr>
                    <w:widowControl/>
                    <w:autoSpaceDE/>
                    <w:autoSpaceDN/>
                    <w:jc w:val="right"/>
                    <w:rPr>
                      <w:color w:val="000000"/>
                      <w:lang w:eastAsia="zh-CN"/>
                    </w:rPr>
                  </w:pPr>
                  <w:r w:rsidRPr="00EC7385">
                    <w:rPr>
                      <w:color w:val="000000"/>
                      <w:lang w:eastAsia="zh-CN"/>
                    </w:rPr>
                    <w:t>42,817,360</w:t>
                  </w:r>
                </w:p>
              </w:tc>
              <w:tc>
                <w:tcPr>
                  <w:tcW w:w="244" w:type="dxa"/>
                  <w:tcBorders>
                    <w:top w:val="nil"/>
                    <w:left w:val="nil"/>
                    <w:bottom w:val="nil"/>
                    <w:right w:val="nil"/>
                  </w:tcBorders>
                  <w:shd w:val="clear" w:color="auto" w:fill="auto"/>
                  <w:vAlign w:val="center"/>
                  <w:hideMark/>
                </w:tcPr>
                <w:p w14:paraId="747102E6" w14:textId="77777777" w:rsidR="00C83526" w:rsidRPr="00EC7385" w:rsidRDefault="00C83526" w:rsidP="00334DC8">
                  <w:pPr>
                    <w:widowControl/>
                    <w:autoSpaceDE/>
                    <w:autoSpaceDN/>
                    <w:jc w:val="right"/>
                    <w:rPr>
                      <w:color w:val="000000"/>
                      <w:lang w:eastAsia="zh-CN"/>
                    </w:rPr>
                  </w:pPr>
                </w:p>
              </w:tc>
              <w:tc>
                <w:tcPr>
                  <w:tcW w:w="1723" w:type="dxa"/>
                  <w:gridSpan w:val="3"/>
                  <w:tcBorders>
                    <w:top w:val="single" w:sz="4" w:space="0" w:color="auto"/>
                    <w:left w:val="nil"/>
                    <w:bottom w:val="triple" w:sz="4" w:space="0" w:color="auto"/>
                    <w:right w:val="nil"/>
                  </w:tcBorders>
                  <w:shd w:val="clear" w:color="auto" w:fill="auto"/>
                  <w:vAlign w:val="center"/>
                  <w:hideMark/>
                </w:tcPr>
                <w:p w14:paraId="2E891FED" w14:textId="77777777" w:rsidR="00C83526" w:rsidRPr="00EC7385" w:rsidRDefault="00C83526" w:rsidP="00334DC8">
                  <w:pPr>
                    <w:widowControl/>
                    <w:autoSpaceDE/>
                    <w:autoSpaceDN/>
                    <w:jc w:val="right"/>
                    <w:rPr>
                      <w:color w:val="000000"/>
                      <w:lang w:eastAsia="zh-CN"/>
                    </w:rPr>
                  </w:pPr>
                  <w:r w:rsidRPr="00EC7385">
                    <w:rPr>
                      <w:color w:val="000000"/>
                      <w:lang w:eastAsia="zh-CN"/>
                    </w:rPr>
                    <w:t>100.00%</w:t>
                  </w:r>
                </w:p>
              </w:tc>
            </w:tr>
          </w:tbl>
          <w:p w14:paraId="0D934617" w14:textId="77777777" w:rsidR="00C83526" w:rsidRPr="00FB48FC" w:rsidRDefault="00C83526" w:rsidP="00334DC8">
            <w:pPr>
              <w:rPr>
                <w:sz w:val="24"/>
                <w:szCs w:val="24"/>
              </w:rPr>
            </w:pPr>
          </w:p>
        </w:tc>
        <w:tc>
          <w:tcPr>
            <w:tcW w:w="781" w:type="dxa"/>
          </w:tcPr>
          <w:p w14:paraId="65F49E05" w14:textId="77777777" w:rsidR="00C83526" w:rsidRPr="00FB48FC" w:rsidRDefault="00C83526" w:rsidP="00334DC8">
            <w:pPr>
              <w:rPr>
                <w:sz w:val="24"/>
                <w:szCs w:val="24"/>
              </w:rPr>
            </w:pPr>
          </w:p>
        </w:tc>
      </w:tr>
    </w:tbl>
    <w:p w14:paraId="65209B47" w14:textId="77777777" w:rsidR="00C83526" w:rsidRPr="00444247" w:rsidRDefault="00C83526" w:rsidP="007213EC">
      <w:pPr>
        <w:pStyle w:val="BodyText"/>
        <w:spacing w:line="295" w:lineRule="auto"/>
        <w:ind w:left="290" w:right="221"/>
        <w:jc w:val="both"/>
        <w:rPr>
          <w:rFonts w:ascii="Times New Roman" w:cs="Times New Roman"/>
          <w:b/>
          <w:bCs/>
          <w:color w:val="231F20"/>
          <w:sz w:val="24"/>
          <w:szCs w:val="24"/>
        </w:rPr>
      </w:pPr>
    </w:p>
    <w:p w14:paraId="37A67AA1" w14:textId="77777777" w:rsidR="00B52061" w:rsidRDefault="00B52061" w:rsidP="00B52061">
      <w:pPr>
        <w:pStyle w:val="BodyText"/>
        <w:spacing w:line="295" w:lineRule="auto"/>
        <w:ind w:right="221" w:firstLine="290"/>
        <w:jc w:val="both"/>
        <w:rPr>
          <w:rFonts w:ascii="Times New Roman" w:cs="Times New Roman"/>
          <w:b/>
          <w:bCs/>
          <w:color w:val="231F20"/>
        </w:rPr>
      </w:pPr>
    </w:p>
    <w:p w14:paraId="167C8088" w14:textId="4780EA39" w:rsidR="00381B71" w:rsidRPr="00B52061" w:rsidRDefault="00381B71" w:rsidP="00B52061">
      <w:pPr>
        <w:pStyle w:val="BodyText"/>
        <w:spacing w:line="295" w:lineRule="auto"/>
        <w:ind w:right="221" w:firstLine="290"/>
        <w:jc w:val="both"/>
        <w:rPr>
          <w:rFonts w:ascii="Times New Roman" w:cs="Times New Roman"/>
          <w:b/>
          <w:bCs/>
          <w:color w:val="231F20"/>
        </w:rPr>
      </w:pPr>
      <w:r w:rsidRPr="002D5250">
        <w:rPr>
          <w:sz w:val="24"/>
          <w:szCs w:val="24"/>
        </w:rPr>
        <w:t xml:space="preserve">附注： </w:t>
      </w:r>
    </w:p>
    <w:p w14:paraId="22277D15" w14:textId="77777777" w:rsidR="00381B71" w:rsidRPr="002D5250" w:rsidRDefault="00381B71" w:rsidP="007213EC">
      <w:pPr>
        <w:pStyle w:val="BodyText"/>
        <w:spacing w:line="295" w:lineRule="auto"/>
        <w:ind w:left="290" w:right="221"/>
        <w:jc w:val="both"/>
        <w:rPr>
          <w:sz w:val="24"/>
          <w:szCs w:val="24"/>
        </w:rPr>
      </w:pPr>
    </w:p>
    <w:p w14:paraId="64D90A06" w14:textId="37B60B4D" w:rsidR="00381B71" w:rsidRPr="002D5250" w:rsidRDefault="00895EEB" w:rsidP="00381B71">
      <w:pPr>
        <w:pStyle w:val="BodyText"/>
        <w:numPr>
          <w:ilvl w:val="0"/>
          <w:numId w:val="22"/>
        </w:numPr>
        <w:spacing w:line="295" w:lineRule="auto"/>
        <w:ind w:right="221"/>
        <w:jc w:val="both"/>
        <w:rPr>
          <w:sz w:val="24"/>
          <w:szCs w:val="24"/>
        </w:rPr>
      </w:pPr>
      <w:r w:rsidRPr="002D5250">
        <w:rPr>
          <w:sz w:val="24"/>
          <w:szCs w:val="24"/>
        </w:rPr>
        <w:t xml:space="preserve">4,549,200 </w:t>
      </w:r>
      <w:r w:rsidR="00381B71" w:rsidRPr="002D5250">
        <w:rPr>
          <w:sz w:val="24"/>
          <w:szCs w:val="24"/>
        </w:rPr>
        <w:t>股由</w:t>
      </w:r>
      <w:r w:rsidR="00863C03" w:rsidRPr="002D5250">
        <w:rPr>
          <w:rFonts w:hint="eastAsia"/>
          <w:sz w:val="24"/>
          <w:szCs w:val="24"/>
        </w:rPr>
        <w:t xml:space="preserve"> </w:t>
      </w:r>
      <w:r w:rsidR="00381B71" w:rsidRPr="002D5250">
        <w:rPr>
          <w:sz w:val="24"/>
          <w:szCs w:val="24"/>
        </w:rPr>
        <w:t>Tanner Enterprises Group Limited</w:t>
      </w:r>
      <w:r w:rsidR="00863C03" w:rsidRPr="002D5250">
        <w:rPr>
          <w:sz w:val="24"/>
          <w:szCs w:val="24"/>
        </w:rPr>
        <w:t xml:space="preserve"> </w:t>
      </w:r>
      <w:r w:rsidR="00381B71" w:rsidRPr="002D5250">
        <w:rPr>
          <w:sz w:val="24"/>
          <w:szCs w:val="24"/>
        </w:rPr>
        <w:t>持有，該公司由執行董事李民強先生全資擁 有。李民強先生亦直接持有</w:t>
      </w:r>
      <w:r w:rsidRPr="002D5250">
        <w:rPr>
          <w:rFonts w:hint="eastAsia"/>
          <w:sz w:val="24"/>
          <w:szCs w:val="24"/>
        </w:rPr>
        <w:t xml:space="preserve"> </w:t>
      </w:r>
      <w:r w:rsidRPr="002D5250">
        <w:rPr>
          <w:sz w:val="24"/>
          <w:szCs w:val="24"/>
        </w:rPr>
        <w:t xml:space="preserve">2,049,600 </w:t>
      </w:r>
      <w:r w:rsidR="00381B71" w:rsidRPr="002D5250">
        <w:rPr>
          <w:sz w:val="24"/>
          <w:szCs w:val="24"/>
        </w:rPr>
        <w:t xml:space="preserve">股股份。李民強先生實際擁有的股份總數為 </w:t>
      </w:r>
      <w:r w:rsidRPr="002D5250">
        <w:rPr>
          <w:sz w:val="24"/>
          <w:szCs w:val="24"/>
        </w:rPr>
        <w:t>6,598,</w:t>
      </w:r>
      <w:r w:rsidR="001F1233" w:rsidRPr="002D5250">
        <w:rPr>
          <w:sz w:val="24"/>
          <w:szCs w:val="24"/>
        </w:rPr>
        <w:t>8</w:t>
      </w:r>
      <w:r w:rsidRPr="002D5250">
        <w:rPr>
          <w:sz w:val="24"/>
          <w:szCs w:val="24"/>
        </w:rPr>
        <w:t xml:space="preserve">00 </w:t>
      </w:r>
      <w:r w:rsidR="00381B71" w:rsidRPr="002D5250">
        <w:rPr>
          <w:sz w:val="24"/>
          <w:szCs w:val="24"/>
        </w:rPr>
        <w:t xml:space="preserve">股股份。 </w:t>
      </w:r>
    </w:p>
    <w:p w14:paraId="5C9EB13C" w14:textId="77777777" w:rsidR="00381B71" w:rsidRPr="002D5250" w:rsidRDefault="00381B71" w:rsidP="00381B71">
      <w:pPr>
        <w:pStyle w:val="BodyText"/>
        <w:spacing w:line="295" w:lineRule="auto"/>
        <w:ind w:left="680" w:right="221"/>
        <w:jc w:val="both"/>
        <w:rPr>
          <w:sz w:val="24"/>
          <w:szCs w:val="24"/>
        </w:rPr>
      </w:pPr>
    </w:p>
    <w:p w14:paraId="299ED6A6" w14:textId="38894044" w:rsidR="00381B71" w:rsidRPr="002D5250" w:rsidRDefault="00381B71" w:rsidP="00B80A45">
      <w:pPr>
        <w:pStyle w:val="BodyText"/>
        <w:spacing w:line="295" w:lineRule="auto"/>
        <w:ind w:left="290" w:right="221"/>
        <w:jc w:val="both"/>
        <w:rPr>
          <w:sz w:val="24"/>
          <w:szCs w:val="24"/>
        </w:rPr>
      </w:pPr>
      <w:r w:rsidRPr="002D5250">
        <w:rPr>
          <w:sz w:val="24"/>
          <w:szCs w:val="24"/>
        </w:rPr>
        <w:t xml:space="preserve">(2) </w:t>
      </w:r>
      <w:r w:rsidR="0016796F" w:rsidRPr="002D5250">
        <w:rPr>
          <w:sz w:val="24"/>
          <w:szCs w:val="24"/>
        </w:rPr>
        <w:t xml:space="preserve">1,520,000 </w:t>
      </w:r>
      <w:r w:rsidRPr="002D5250">
        <w:rPr>
          <w:sz w:val="24"/>
          <w:szCs w:val="24"/>
        </w:rPr>
        <w:t>股由</w:t>
      </w:r>
      <w:r w:rsidR="00863C03" w:rsidRPr="002D5250">
        <w:rPr>
          <w:rFonts w:hint="eastAsia"/>
          <w:sz w:val="24"/>
          <w:szCs w:val="24"/>
        </w:rPr>
        <w:t xml:space="preserve"> </w:t>
      </w:r>
      <w:r w:rsidRPr="002D5250">
        <w:rPr>
          <w:sz w:val="24"/>
          <w:szCs w:val="24"/>
        </w:rPr>
        <w:t xml:space="preserve">Great Win Global Limited持有，該公司由執行董事楊振宇先生全資擁有。 </w:t>
      </w:r>
    </w:p>
    <w:p w14:paraId="2A79333F" w14:textId="77777777" w:rsidR="00381B71" w:rsidRPr="002D5250" w:rsidRDefault="00381B71" w:rsidP="00381B71">
      <w:pPr>
        <w:pStyle w:val="BodyText"/>
        <w:spacing w:line="295" w:lineRule="auto"/>
        <w:ind w:left="290" w:right="221"/>
        <w:jc w:val="both"/>
        <w:rPr>
          <w:sz w:val="24"/>
          <w:szCs w:val="24"/>
        </w:rPr>
      </w:pPr>
    </w:p>
    <w:p w14:paraId="2A51D1E3" w14:textId="6D87DE3F" w:rsidR="00B52061" w:rsidRPr="006016D3" w:rsidRDefault="00381B71" w:rsidP="006016D3">
      <w:pPr>
        <w:pStyle w:val="BodyText"/>
        <w:spacing w:line="295" w:lineRule="auto"/>
        <w:ind w:left="290" w:right="221"/>
        <w:jc w:val="both"/>
      </w:pPr>
      <w:r w:rsidRPr="002D5250">
        <w:rPr>
          <w:sz w:val="24"/>
          <w:szCs w:val="24"/>
        </w:rPr>
        <w:t xml:space="preserve">(3) </w:t>
      </w:r>
      <w:r w:rsidR="0016796F" w:rsidRPr="002D5250">
        <w:rPr>
          <w:sz w:val="24"/>
          <w:szCs w:val="24"/>
        </w:rPr>
        <w:t xml:space="preserve">900,000 </w:t>
      </w:r>
      <w:r w:rsidRPr="002D5250">
        <w:rPr>
          <w:sz w:val="24"/>
          <w:szCs w:val="24"/>
        </w:rPr>
        <w:t>股由</w:t>
      </w:r>
      <w:r w:rsidR="00863C03" w:rsidRPr="002D5250">
        <w:rPr>
          <w:rFonts w:hint="eastAsia"/>
          <w:sz w:val="24"/>
          <w:szCs w:val="24"/>
        </w:rPr>
        <w:t xml:space="preserve"> </w:t>
      </w:r>
      <w:r w:rsidRPr="002D5250">
        <w:rPr>
          <w:sz w:val="24"/>
          <w:szCs w:val="24"/>
        </w:rPr>
        <w:t>Bright Music Limited</w:t>
      </w:r>
      <w:r w:rsidR="00863C03" w:rsidRPr="002D5250">
        <w:rPr>
          <w:sz w:val="24"/>
          <w:szCs w:val="24"/>
        </w:rPr>
        <w:t xml:space="preserve"> </w:t>
      </w:r>
      <w:r w:rsidRPr="002D5250">
        <w:rPr>
          <w:sz w:val="24"/>
          <w:szCs w:val="24"/>
        </w:rPr>
        <w:t>持有，該公司由執行董事許永權先生全資擁有</w:t>
      </w:r>
      <w:r>
        <w:rPr>
          <w:rFonts w:hAnsi="PMingLiU" w:hint="eastAsia"/>
        </w:rPr>
        <w:t>。</w:t>
      </w:r>
    </w:p>
    <w:p w14:paraId="6163F23C" w14:textId="77777777" w:rsidR="00381B71" w:rsidRDefault="00381B71" w:rsidP="007213EC">
      <w:pPr>
        <w:pStyle w:val="BodyText"/>
        <w:spacing w:line="295" w:lineRule="auto"/>
        <w:ind w:left="290" w:right="221"/>
        <w:jc w:val="both"/>
        <w:rPr>
          <w:rFonts w:ascii="Times New Roman" w:cs="Times New Roman"/>
          <w:b/>
          <w:bCs/>
          <w:color w:val="231F20"/>
        </w:rPr>
      </w:pPr>
    </w:p>
    <w:p w14:paraId="3FD34A4E" w14:textId="77777777" w:rsidR="0089596D" w:rsidRDefault="0089596D" w:rsidP="007213EC">
      <w:pPr>
        <w:pStyle w:val="BodyText"/>
        <w:spacing w:line="295" w:lineRule="auto"/>
        <w:ind w:left="290" w:right="221"/>
        <w:jc w:val="both"/>
        <w:rPr>
          <w:rFonts w:ascii="Times New Roman" w:cs="Times New Roman"/>
          <w:b/>
          <w:bCs/>
          <w:color w:val="231F20"/>
        </w:rPr>
      </w:pPr>
    </w:p>
    <w:p w14:paraId="012C845B" w14:textId="7905B86A" w:rsidR="00381B71" w:rsidRPr="006A20E3" w:rsidRDefault="002D5250" w:rsidP="007213EC">
      <w:pPr>
        <w:pStyle w:val="BodyText"/>
        <w:spacing w:line="295" w:lineRule="auto"/>
        <w:ind w:left="290" w:right="221"/>
        <w:jc w:val="both"/>
        <w:rPr>
          <w:rFonts w:ascii="Times New Roman" w:cs="Times New Roman"/>
          <w:b/>
          <w:bCs/>
          <w:color w:val="231F20"/>
          <w:sz w:val="24"/>
          <w:szCs w:val="24"/>
        </w:rPr>
      </w:pPr>
      <w:r w:rsidRPr="006A20E3">
        <w:rPr>
          <w:b/>
          <w:bCs/>
          <w:sz w:val="24"/>
          <w:szCs w:val="24"/>
        </w:rPr>
        <w:t>本公司於過去十二個月進行之集資活動</w:t>
      </w:r>
    </w:p>
    <w:p w14:paraId="1EA260B1" w14:textId="77777777" w:rsidR="00381B71" w:rsidRPr="006A20E3" w:rsidRDefault="00381B71" w:rsidP="007213EC">
      <w:pPr>
        <w:pStyle w:val="BodyText"/>
        <w:spacing w:line="295" w:lineRule="auto"/>
        <w:ind w:left="290" w:right="221"/>
        <w:jc w:val="both"/>
        <w:rPr>
          <w:rFonts w:ascii="Times New Roman" w:cs="Times New Roman"/>
          <w:b/>
          <w:bCs/>
          <w:color w:val="231F20"/>
          <w:sz w:val="24"/>
          <w:szCs w:val="24"/>
        </w:rPr>
      </w:pPr>
    </w:p>
    <w:p w14:paraId="5A89BA07" w14:textId="26EEE5B9" w:rsidR="00381B71" w:rsidRPr="006A20E3" w:rsidRDefault="00664ADC" w:rsidP="007213EC">
      <w:pPr>
        <w:pStyle w:val="BodyText"/>
        <w:spacing w:line="295" w:lineRule="auto"/>
        <w:ind w:left="290" w:right="221"/>
        <w:jc w:val="both"/>
        <w:rPr>
          <w:rFonts w:hAnsi="PMingLiU"/>
          <w:sz w:val="24"/>
          <w:szCs w:val="24"/>
        </w:rPr>
      </w:pPr>
      <w:r w:rsidRPr="006A20E3">
        <w:rPr>
          <w:sz w:val="24"/>
          <w:szCs w:val="24"/>
        </w:rPr>
        <w:t>本公司於緊接本公告日期前十二個月內並無進行任何股本集資活動</w:t>
      </w:r>
      <w:r w:rsidRPr="006A20E3">
        <w:rPr>
          <w:rFonts w:hAnsi="PMingLiU" w:hint="eastAsia"/>
          <w:sz w:val="24"/>
          <w:szCs w:val="24"/>
        </w:rPr>
        <w:t>。</w:t>
      </w:r>
    </w:p>
    <w:p w14:paraId="7C20D81D" w14:textId="77777777" w:rsidR="00F15526" w:rsidRDefault="00F15526" w:rsidP="007213EC">
      <w:pPr>
        <w:pStyle w:val="BodyText"/>
        <w:spacing w:line="295" w:lineRule="auto"/>
        <w:ind w:left="290" w:right="221"/>
        <w:jc w:val="both"/>
        <w:rPr>
          <w:rFonts w:ascii="Times New Roman" w:cs="Times New Roman"/>
          <w:b/>
          <w:bCs/>
          <w:color w:val="231F20"/>
          <w:sz w:val="24"/>
          <w:szCs w:val="24"/>
        </w:rPr>
      </w:pPr>
    </w:p>
    <w:p w14:paraId="01273C17" w14:textId="77777777" w:rsidR="00CF2ADC" w:rsidRPr="006A20E3" w:rsidRDefault="00CF2ADC" w:rsidP="007213EC">
      <w:pPr>
        <w:pStyle w:val="BodyText"/>
        <w:spacing w:line="295" w:lineRule="auto"/>
        <w:ind w:left="290" w:right="221"/>
        <w:jc w:val="both"/>
        <w:rPr>
          <w:rFonts w:ascii="Times New Roman" w:cs="Times New Roman"/>
          <w:b/>
          <w:bCs/>
          <w:color w:val="231F20"/>
          <w:sz w:val="24"/>
          <w:szCs w:val="24"/>
        </w:rPr>
      </w:pPr>
    </w:p>
    <w:p w14:paraId="0B22557F" w14:textId="30614346" w:rsidR="006A20E3" w:rsidRDefault="00F15526" w:rsidP="00672CD5">
      <w:pPr>
        <w:pStyle w:val="BodyText"/>
        <w:spacing w:line="295" w:lineRule="auto"/>
        <w:ind w:left="290" w:right="221"/>
        <w:jc w:val="both"/>
        <w:rPr>
          <w:b/>
          <w:bCs/>
          <w:sz w:val="24"/>
          <w:szCs w:val="24"/>
        </w:rPr>
      </w:pPr>
      <w:r w:rsidRPr="006A20E3">
        <w:rPr>
          <w:b/>
          <w:bCs/>
          <w:sz w:val="24"/>
          <w:szCs w:val="24"/>
        </w:rPr>
        <w:t xml:space="preserve">一般事項 </w:t>
      </w:r>
    </w:p>
    <w:p w14:paraId="7854AD8A" w14:textId="77777777" w:rsidR="00CF2ADC" w:rsidRPr="006A20E3" w:rsidRDefault="00CF2ADC" w:rsidP="007213EC">
      <w:pPr>
        <w:pStyle w:val="BodyText"/>
        <w:spacing w:line="295" w:lineRule="auto"/>
        <w:ind w:left="290" w:right="221"/>
        <w:jc w:val="both"/>
        <w:rPr>
          <w:b/>
          <w:bCs/>
          <w:sz w:val="24"/>
          <w:szCs w:val="24"/>
        </w:rPr>
      </w:pPr>
    </w:p>
    <w:p w14:paraId="0A36F3FA" w14:textId="304C3ABF" w:rsidR="00381B71" w:rsidRPr="00CF2ADC" w:rsidRDefault="00F15526" w:rsidP="00CF2ADC">
      <w:pPr>
        <w:pStyle w:val="BodyText"/>
        <w:spacing w:line="295" w:lineRule="auto"/>
        <w:ind w:left="290" w:right="221"/>
        <w:jc w:val="both"/>
        <w:rPr>
          <w:b/>
          <w:bCs/>
          <w:sz w:val="24"/>
          <w:szCs w:val="24"/>
        </w:rPr>
      </w:pPr>
      <w:r w:rsidRPr="006A20E3">
        <w:rPr>
          <w:b/>
          <w:bCs/>
          <w:sz w:val="24"/>
          <w:szCs w:val="24"/>
        </w:rPr>
        <w:t>完成須待認購協議項下之條件達成後，方可作實。由於認購事項可能會或可能不會進行，故股東及有意投資者於買賣股份時務請審慎行事。</w:t>
      </w:r>
    </w:p>
    <w:p w14:paraId="26D45603" w14:textId="77777777" w:rsidR="00CF2ADC" w:rsidRDefault="00CF2ADC" w:rsidP="007213EC">
      <w:pPr>
        <w:pStyle w:val="BodyText"/>
        <w:spacing w:line="295" w:lineRule="auto"/>
        <w:ind w:left="290" w:right="221"/>
        <w:jc w:val="both"/>
        <w:rPr>
          <w:rFonts w:ascii="Times New Roman" w:cs="Times New Roman"/>
          <w:b/>
          <w:bCs/>
          <w:color w:val="231F20"/>
        </w:rPr>
      </w:pPr>
    </w:p>
    <w:p w14:paraId="63C32C2D" w14:textId="77777777" w:rsidR="00DC1F85" w:rsidRDefault="00DC1F85" w:rsidP="00DC1F85">
      <w:pPr>
        <w:pStyle w:val="Heading1"/>
        <w:ind w:left="284"/>
        <w:jc w:val="left"/>
        <w:rPr>
          <w:rFonts w:eastAsia="PMingLiU"/>
          <w:b w:val="0"/>
          <w:bCs w:val="0"/>
          <w:color w:val="231F20"/>
          <w:lang w:eastAsia="zh-TW"/>
        </w:rPr>
      </w:pPr>
    </w:p>
    <w:p w14:paraId="736FF346" w14:textId="2FF1DB1C" w:rsidR="00F34C79" w:rsidRPr="007213EC" w:rsidRDefault="00C82687" w:rsidP="00175BEB">
      <w:pPr>
        <w:pStyle w:val="Heading1"/>
        <w:ind w:left="284"/>
        <w:jc w:val="left"/>
        <w:rPr>
          <w:color w:val="231F20"/>
          <w:lang w:eastAsia="zh-TW"/>
        </w:rPr>
      </w:pPr>
      <w:r w:rsidRPr="007213EC">
        <w:rPr>
          <w:color w:val="231F20"/>
          <w:lang w:eastAsia="zh-TW"/>
        </w:rPr>
        <w:t>釋義</w:t>
      </w:r>
    </w:p>
    <w:p w14:paraId="28D4B2CD" w14:textId="77777777" w:rsidR="00C82687" w:rsidRPr="007213EC" w:rsidRDefault="00C82687" w:rsidP="00F34C79">
      <w:pPr>
        <w:pStyle w:val="Heading1"/>
        <w:jc w:val="left"/>
        <w:rPr>
          <w:color w:val="231F20"/>
          <w:lang w:eastAsia="zh-TW"/>
        </w:rPr>
      </w:pPr>
    </w:p>
    <w:p w14:paraId="02DC2B62" w14:textId="77777777" w:rsidR="00C82687" w:rsidRDefault="00C82687" w:rsidP="00175BEB">
      <w:pPr>
        <w:pStyle w:val="Heading1"/>
        <w:ind w:left="284"/>
        <w:jc w:val="left"/>
        <w:rPr>
          <w:b w:val="0"/>
          <w:bCs w:val="0"/>
          <w:color w:val="231F20"/>
          <w:lang w:eastAsia="zh-TW"/>
        </w:rPr>
      </w:pPr>
      <w:r w:rsidRPr="007213EC">
        <w:rPr>
          <w:b w:val="0"/>
          <w:bCs w:val="0"/>
          <w:color w:val="231F20"/>
          <w:lang w:eastAsia="zh-TW"/>
        </w:rPr>
        <w:t>於本公告內，除文義另有所指外，下列詞語及詞彙分別具有下文所賦予之涵義：</w:t>
      </w:r>
    </w:p>
    <w:p w14:paraId="3A717939" w14:textId="77777777" w:rsidR="009E3F5D" w:rsidRPr="007213EC" w:rsidRDefault="009E3F5D" w:rsidP="00175BEB">
      <w:pPr>
        <w:pStyle w:val="Heading1"/>
        <w:ind w:left="284"/>
        <w:jc w:val="left"/>
        <w:rPr>
          <w:b w:val="0"/>
          <w:bCs w:val="0"/>
          <w:color w:val="231F20"/>
          <w:lang w:eastAsia="zh-TW"/>
        </w:rPr>
      </w:pPr>
    </w:p>
    <w:p w14:paraId="5378F7F6" w14:textId="77777777" w:rsidR="00C82687" w:rsidRDefault="00C82687" w:rsidP="00F34C79">
      <w:pPr>
        <w:pStyle w:val="Heading1"/>
        <w:jc w:val="left"/>
        <w:rPr>
          <w:b w:val="0"/>
          <w:bCs w:val="0"/>
          <w:color w:val="231F20"/>
          <w:lang w:eastAsia="zh-TW"/>
        </w:rPr>
      </w:pPr>
    </w:p>
    <w:p w14:paraId="102ED5E5" w14:textId="77777777" w:rsidR="009E3F5D" w:rsidRPr="007213EC" w:rsidRDefault="009E3F5D" w:rsidP="00F34C79">
      <w:pPr>
        <w:pStyle w:val="Heading1"/>
        <w:jc w:val="left"/>
        <w:rPr>
          <w:b w:val="0"/>
          <w:bCs w:val="0"/>
          <w:color w:val="231F20"/>
          <w:lang w:eastAsia="zh-TW"/>
        </w:rPr>
      </w:pPr>
    </w:p>
    <w:tbl>
      <w:tblPr>
        <w:tblStyle w:val="TableGrid"/>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5"/>
        <w:gridCol w:w="476"/>
        <w:gridCol w:w="6633"/>
      </w:tblGrid>
      <w:tr w:rsidR="009E3F5D" w:rsidRPr="007213EC" w14:paraId="6E23279C" w14:textId="77777777" w:rsidTr="006E22BB">
        <w:tc>
          <w:tcPr>
            <w:tcW w:w="2955" w:type="dxa"/>
          </w:tcPr>
          <w:p w14:paraId="4F55C9C0" w14:textId="268036FE" w:rsidR="009E3F5D" w:rsidRPr="003841C3" w:rsidRDefault="009E3F5D" w:rsidP="00F34C79">
            <w:pPr>
              <w:pStyle w:val="BodyText"/>
              <w:spacing w:before="2"/>
              <w:rPr>
                <w:rFonts w:ascii="Times New Roman" w:eastAsiaTheme="minorEastAsia" w:cs="Times New Roman"/>
                <w:color w:val="231F20"/>
                <w:sz w:val="24"/>
                <w:szCs w:val="24"/>
              </w:rPr>
            </w:pPr>
            <w:r w:rsidRPr="003841C3">
              <w:rPr>
                <w:rFonts w:ascii="Times New Roman" w:eastAsiaTheme="minorEastAsia" w:cs="Times New Roman"/>
                <w:color w:val="231F20"/>
                <w:sz w:val="24"/>
                <w:szCs w:val="24"/>
              </w:rPr>
              <w:t>「股東週年大會」</w:t>
            </w:r>
          </w:p>
        </w:tc>
        <w:tc>
          <w:tcPr>
            <w:tcW w:w="476" w:type="dxa"/>
          </w:tcPr>
          <w:p w14:paraId="2929B599" w14:textId="0FD3010E" w:rsidR="009E3F5D" w:rsidRPr="007213EC" w:rsidRDefault="009E3F5D" w:rsidP="00F34C79">
            <w:pPr>
              <w:pStyle w:val="BodyText"/>
              <w:spacing w:before="2"/>
              <w:rPr>
                <w:rFonts w:ascii="Times New Roman" w:eastAsiaTheme="minorEastAsia" w:cs="Times New Roman"/>
                <w:color w:val="231F20"/>
                <w:sz w:val="24"/>
                <w:szCs w:val="24"/>
                <w:lang w:eastAsia="zh-CN"/>
              </w:rPr>
            </w:pPr>
            <w:r w:rsidRPr="007213EC">
              <w:rPr>
                <w:rFonts w:ascii="Times New Roman" w:eastAsiaTheme="minorEastAsia" w:cs="Times New Roman"/>
                <w:color w:val="231F20"/>
                <w:sz w:val="24"/>
                <w:szCs w:val="24"/>
                <w:lang w:eastAsia="zh-CN"/>
              </w:rPr>
              <w:t>指</w:t>
            </w:r>
          </w:p>
        </w:tc>
        <w:tc>
          <w:tcPr>
            <w:tcW w:w="6633" w:type="dxa"/>
          </w:tcPr>
          <w:p w14:paraId="4028892C" w14:textId="7FB8B168" w:rsidR="009E3F5D" w:rsidRPr="003841C3" w:rsidRDefault="009E3F5D" w:rsidP="00163A60">
            <w:pPr>
              <w:pStyle w:val="BodyText"/>
              <w:spacing w:before="2"/>
              <w:jc w:val="both"/>
              <w:rPr>
                <w:rFonts w:ascii="Times New Roman" w:eastAsiaTheme="minorEastAsia" w:cs="Times New Roman"/>
                <w:color w:val="231F20"/>
                <w:sz w:val="24"/>
                <w:szCs w:val="24"/>
              </w:rPr>
            </w:pPr>
            <w:r w:rsidRPr="003841C3">
              <w:rPr>
                <w:sz w:val="24"/>
                <w:szCs w:val="24"/>
              </w:rPr>
              <w:t>本公司於 2024 年 2 月 23 日舉行的股東週年大</w:t>
            </w:r>
            <w:r w:rsidRPr="003841C3">
              <w:rPr>
                <w:rFonts w:hAnsi="PMingLiU" w:hint="eastAsia"/>
                <w:sz w:val="24"/>
                <w:szCs w:val="24"/>
              </w:rPr>
              <w:t>會</w:t>
            </w:r>
          </w:p>
        </w:tc>
      </w:tr>
      <w:tr w:rsidR="009E3F5D" w:rsidRPr="007213EC" w14:paraId="7529231E" w14:textId="77777777" w:rsidTr="006E22BB">
        <w:tc>
          <w:tcPr>
            <w:tcW w:w="2955" w:type="dxa"/>
          </w:tcPr>
          <w:p w14:paraId="10BA6112" w14:textId="77777777" w:rsidR="009E3F5D" w:rsidRPr="003841C3" w:rsidRDefault="009E3F5D" w:rsidP="00F34C79">
            <w:pPr>
              <w:pStyle w:val="BodyText"/>
              <w:spacing w:before="2"/>
              <w:rPr>
                <w:rFonts w:ascii="Times New Roman" w:eastAsiaTheme="minorEastAsia" w:cs="Times New Roman"/>
                <w:color w:val="231F20"/>
                <w:sz w:val="24"/>
                <w:szCs w:val="24"/>
              </w:rPr>
            </w:pPr>
          </w:p>
        </w:tc>
        <w:tc>
          <w:tcPr>
            <w:tcW w:w="476" w:type="dxa"/>
          </w:tcPr>
          <w:p w14:paraId="592A9959" w14:textId="77777777" w:rsidR="009E3F5D" w:rsidRPr="007213EC" w:rsidRDefault="009E3F5D" w:rsidP="00F34C79">
            <w:pPr>
              <w:pStyle w:val="BodyText"/>
              <w:spacing w:before="2"/>
              <w:rPr>
                <w:rFonts w:ascii="Times New Roman" w:eastAsiaTheme="minorEastAsia" w:cs="Times New Roman"/>
                <w:color w:val="231F20"/>
                <w:sz w:val="24"/>
                <w:szCs w:val="24"/>
              </w:rPr>
            </w:pPr>
          </w:p>
        </w:tc>
        <w:tc>
          <w:tcPr>
            <w:tcW w:w="6633" w:type="dxa"/>
          </w:tcPr>
          <w:p w14:paraId="5249D2CF" w14:textId="77777777" w:rsidR="009E3F5D" w:rsidRPr="003841C3" w:rsidRDefault="009E3F5D" w:rsidP="00163A60">
            <w:pPr>
              <w:pStyle w:val="BodyText"/>
              <w:spacing w:before="2"/>
              <w:jc w:val="both"/>
              <w:rPr>
                <w:rFonts w:ascii="Times New Roman" w:eastAsiaTheme="minorEastAsia" w:cs="Times New Roman"/>
                <w:color w:val="231F20"/>
                <w:sz w:val="24"/>
                <w:szCs w:val="24"/>
              </w:rPr>
            </w:pPr>
          </w:p>
        </w:tc>
      </w:tr>
      <w:tr w:rsidR="00547FCA" w:rsidRPr="007213EC" w14:paraId="621476A5" w14:textId="77777777" w:rsidTr="006E22BB">
        <w:tc>
          <w:tcPr>
            <w:tcW w:w="2955" w:type="dxa"/>
          </w:tcPr>
          <w:p w14:paraId="62CD7C66" w14:textId="0E8162AB" w:rsidR="00547FCA" w:rsidRPr="003841C3" w:rsidRDefault="00547FCA" w:rsidP="00F34C79">
            <w:pPr>
              <w:pStyle w:val="BodyText"/>
              <w:spacing w:before="2"/>
              <w:rPr>
                <w:rFonts w:ascii="Times New Roman" w:eastAsiaTheme="minorEastAsia" w:cs="Times New Roman"/>
                <w:color w:val="231F20"/>
                <w:sz w:val="24"/>
                <w:szCs w:val="24"/>
              </w:rPr>
            </w:pPr>
            <w:r w:rsidRPr="003841C3">
              <w:rPr>
                <w:rFonts w:ascii="Times New Roman" w:eastAsiaTheme="minorEastAsia" w:cs="Times New Roman"/>
                <w:color w:val="231F20"/>
                <w:sz w:val="24"/>
                <w:szCs w:val="24"/>
              </w:rPr>
              <w:t>「董事會」</w:t>
            </w:r>
          </w:p>
        </w:tc>
        <w:tc>
          <w:tcPr>
            <w:tcW w:w="476" w:type="dxa"/>
          </w:tcPr>
          <w:p w14:paraId="002A3258" w14:textId="77777777" w:rsidR="00547FCA" w:rsidRPr="007213EC" w:rsidRDefault="00243291" w:rsidP="00F34C79">
            <w:pPr>
              <w:pStyle w:val="BodyText"/>
              <w:spacing w:before="2"/>
              <w:rPr>
                <w:rFonts w:ascii="Times New Roman" w:eastAsiaTheme="minorEastAsia" w:cs="Times New Roman"/>
                <w:color w:val="231F20"/>
                <w:sz w:val="24"/>
                <w:szCs w:val="24"/>
                <w:lang w:eastAsia="en-US"/>
              </w:rPr>
            </w:pPr>
            <w:r w:rsidRPr="007213EC">
              <w:rPr>
                <w:rFonts w:ascii="Times New Roman" w:eastAsiaTheme="minorEastAsia" w:cs="Times New Roman"/>
                <w:color w:val="231F20"/>
                <w:sz w:val="24"/>
                <w:szCs w:val="24"/>
                <w:lang w:eastAsia="zh-CN"/>
              </w:rPr>
              <w:t>指</w:t>
            </w:r>
          </w:p>
        </w:tc>
        <w:tc>
          <w:tcPr>
            <w:tcW w:w="6633" w:type="dxa"/>
          </w:tcPr>
          <w:p w14:paraId="6DDA12E9" w14:textId="77777777" w:rsidR="00547FCA" w:rsidRPr="003841C3" w:rsidRDefault="00547FCA" w:rsidP="00163A60">
            <w:pPr>
              <w:pStyle w:val="BodyText"/>
              <w:spacing w:before="2"/>
              <w:jc w:val="both"/>
              <w:rPr>
                <w:rFonts w:ascii="Times New Roman" w:eastAsiaTheme="minorEastAsia" w:cs="Times New Roman"/>
                <w:color w:val="231F20"/>
                <w:sz w:val="24"/>
                <w:szCs w:val="24"/>
              </w:rPr>
            </w:pPr>
            <w:r w:rsidRPr="003841C3">
              <w:rPr>
                <w:rFonts w:ascii="Times New Roman" w:eastAsiaTheme="minorEastAsia" w:cs="Times New Roman"/>
                <w:color w:val="231F20"/>
                <w:sz w:val="24"/>
                <w:szCs w:val="24"/>
              </w:rPr>
              <w:t>董事會</w:t>
            </w:r>
          </w:p>
        </w:tc>
      </w:tr>
      <w:tr w:rsidR="00903D07" w:rsidRPr="007213EC" w14:paraId="1AC56D8C" w14:textId="77777777" w:rsidTr="006E22BB">
        <w:tc>
          <w:tcPr>
            <w:tcW w:w="2955" w:type="dxa"/>
          </w:tcPr>
          <w:p w14:paraId="57E5B1D1" w14:textId="77777777" w:rsidR="00903D07" w:rsidRPr="003841C3" w:rsidRDefault="00903D07" w:rsidP="00F34C79">
            <w:pPr>
              <w:pStyle w:val="BodyText"/>
              <w:spacing w:before="2"/>
              <w:rPr>
                <w:rFonts w:ascii="Times New Roman" w:eastAsiaTheme="minorEastAsia" w:cs="Times New Roman"/>
                <w:color w:val="231F20"/>
                <w:sz w:val="24"/>
                <w:szCs w:val="24"/>
              </w:rPr>
            </w:pPr>
          </w:p>
        </w:tc>
        <w:tc>
          <w:tcPr>
            <w:tcW w:w="476" w:type="dxa"/>
          </w:tcPr>
          <w:p w14:paraId="21E3741F" w14:textId="77777777" w:rsidR="00903D07" w:rsidRPr="007213EC" w:rsidRDefault="00903D07" w:rsidP="00F34C79">
            <w:pPr>
              <w:pStyle w:val="BodyText"/>
              <w:spacing w:before="2"/>
              <w:rPr>
                <w:rFonts w:ascii="Times New Roman" w:eastAsiaTheme="minorEastAsia" w:cs="Times New Roman"/>
                <w:color w:val="231F20"/>
                <w:sz w:val="24"/>
                <w:szCs w:val="24"/>
                <w:lang w:eastAsia="zh-CN"/>
              </w:rPr>
            </w:pPr>
          </w:p>
        </w:tc>
        <w:tc>
          <w:tcPr>
            <w:tcW w:w="6633" w:type="dxa"/>
          </w:tcPr>
          <w:p w14:paraId="2DEA90E5" w14:textId="77777777" w:rsidR="00903D07" w:rsidRPr="003841C3" w:rsidRDefault="00903D07" w:rsidP="00163A60">
            <w:pPr>
              <w:pStyle w:val="BodyText"/>
              <w:spacing w:before="2"/>
              <w:jc w:val="both"/>
              <w:rPr>
                <w:rFonts w:ascii="Times New Roman" w:eastAsiaTheme="minorEastAsia" w:cs="Times New Roman"/>
                <w:color w:val="231F20"/>
                <w:sz w:val="24"/>
                <w:szCs w:val="24"/>
              </w:rPr>
            </w:pPr>
          </w:p>
        </w:tc>
      </w:tr>
      <w:tr w:rsidR="00903D07" w:rsidRPr="007213EC" w14:paraId="0C48C2C0" w14:textId="77777777" w:rsidTr="006E22BB">
        <w:tc>
          <w:tcPr>
            <w:tcW w:w="2955" w:type="dxa"/>
          </w:tcPr>
          <w:p w14:paraId="7A5CAB8D" w14:textId="021AE6B9" w:rsidR="00903D07" w:rsidRPr="003841C3" w:rsidRDefault="00903D07" w:rsidP="00F34C79">
            <w:pPr>
              <w:pStyle w:val="BodyText"/>
              <w:spacing w:before="2"/>
              <w:rPr>
                <w:rFonts w:ascii="Times New Roman" w:eastAsiaTheme="minorEastAsia" w:cs="Times New Roman"/>
                <w:color w:val="231F20"/>
                <w:sz w:val="24"/>
                <w:szCs w:val="24"/>
              </w:rPr>
            </w:pPr>
            <w:r w:rsidRPr="003841C3">
              <w:rPr>
                <w:sz w:val="24"/>
                <w:szCs w:val="24"/>
              </w:rPr>
              <w:t>「營業日</w:t>
            </w:r>
            <w:r w:rsidRPr="003841C3">
              <w:rPr>
                <w:rFonts w:hAnsi="PMingLiU" w:hint="eastAsia"/>
                <w:sz w:val="24"/>
                <w:szCs w:val="24"/>
              </w:rPr>
              <w:t>」</w:t>
            </w:r>
          </w:p>
        </w:tc>
        <w:tc>
          <w:tcPr>
            <w:tcW w:w="476" w:type="dxa"/>
          </w:tcPr>
          <w:p w14:paraId="502E44D8" w14:textId="5DFCA43B" w:rsidR="00903D07" w:rsidRPr="007213EC" w:rsidRDefault="00903D07" w:rsidP="00F34C79">
            <w:pPr>
              <w:pStyle w:val="BodyText"/>
              <w:spacing w:before="2"/>
              <w:rPr>
                <w:rFonts w:ascii="Times New Roman" w:eastAsiaTheme="minorEastAsia" w:cs="Times New Roman"/>
                <w:color w:val="231F20"/>
                <w:sz w:val="24"/>
                <w:szCs w:val="24"/>
                <w:lang w:eastAsia="zh-CN"/>
              </w:rPr>
            </w:pPr>
            <w:r w:rsidRPr="007213EC">
              <w:rPr>
                <w:rFonts w:ascii="Times New Roman" w:eastAsiaTheme="minorEastAsia" w:cs="Times New Roman"/>
                <w:color w:val="231F20"/>
                <w:sz w:val="24"/>
                <w:szCs w:val="24"/>
                <w:lang w:eastAsia="zh-CN"/>
              </w:rPr>
              <w:t>指</w:t>
            </w:r>
          </w:p>
        </w:tc>
        <w:tc>
          <w:tcPr>
            <w:tcW w:w="6633" w:type="dxa"/>
          </w:tcPr>
          <w:p w14:paraId="1A13FFCB" w14:textId="668AAEE8" w:rsidR="00903D07" w:rsidRPr="003841C3" w:rsidRDefault="000D7DDC" w:rsidP="00163A60">
            <w:pPr>
              <w:pStyle w:val="BodyText"/>
              <w:spacing w:before="2"/>
              <w:jc w:val="both"/>
              <w:rPr>
                <w:rFonts w:ascii="Times New Roman" w:eastAsiaTheme="minorEastAsia" w:cs="Times New Roman"/>
                <w:color w:val="231F20"/>
                <w:sz w:val="24"/>
                <w:szCs w:val="24"/>
              </w:rPr>
            </w:pPr>
            <w:r w:rsidRPr="000D7DDC">
              <w:rPr>
                <w:rFonts w:ascii="Times New Roman" w:eastAsiaTheme="minorEastAsia" w:cs="Times New Roman" w:hint="eastAsia"/>
                <w:color w:val="231F20"/>
                <w:sz w:val="24"/>
                <w:szCs w:val="24"/>
              </w:rPr>
              <w:t>香港銀行營業的日子（星期六、日及公眾假期除外）</w:t>
            </w:r>
          </w:p>
        </w:tc>
      </w:tr>
      <w:tr w:rsidR="00547FCA" w:rsidRPr="007213EC" w14:paraId="6947AAD8" w14:textId="77777777" w:rsidTr="006E22BB">
        <w:tc>
          <w:tcPr>
            <w:tcW w:w="2955" w:type="dxa"/>
          </w:tcPr>
          <w:p w14:paraId="461885DC" w14:textId="77777777" w:rsidR="00547FCA" w:rsidRPr="003841C3" w:rsidRDefault="00547FCA" w:rsidP="00F34C79">
            <w:pPr>
              <w:pStyle w:val="BodyText"/>
              <w:spacing w:before="2"/>
              <w:rPr>
                <w:rFonts w:ascii="Times New Roman" w:eastAsiaTheme="minorEastAsia" w:cs="Times New Roman"/>
                <w:color w:val="231F20"/>
                <w:sz w:val="24"/>
                <w:szCs w:val="24"/>
              </w:rPr>
            </w:pPr>
          </w:p>
        </w:tc>
        <w:tc>
          <w:tcPr>
            <w:tcW w:w="476" w:type="dxa"/>
          </w:tcPr>
          <w:p w14:paraId="35D434AB" w14:textId="77777777" w:rsidR="00547FCA" w:rsidRPr="007213EC" w:rsidRDefault="00547FCA" w:rsidP="00F34C79">
            <w:pPr>
              <w:pStyle w:val="BodyText"/>
              <w:spacing w:before="2"/>
              <w:rPr>
                <w:rFonts w:ascii="Times New Roman" w:eastAsiaTheme="minorEastAsia" w:cs="Times New Roman"/>
                <w:color w:val="231F20"/>
                <w:sz w:val="24"/>
                <w:szCs w:val="24"/>
              </w:rPr>
            </w:pPr>
          </w:p>
        </w:tc>
        <w:tc>
          <w:tcPr>
            <w:tcW w:w="6633" w:type="dxa"/>
          </w:tcPr>
          <w:p w14:paraId="28F5659B" w14:textId="77777777" w:rsidR="00547FCA" w:rsidRPr="003841C3" w:rsidRDefault="00547FCA" w:rsidP="00163A60">
            <w:pPr>
              <w:pStyle w:val="BodyText"/>
              <w:spacing w:before="2"/>
              <w:jc w:val="both"/>
              <w:rPr>
                <w:rFonts w:ascii="Times New Roman" w:eastAsiaTheme="minorEastAsia" w:cs="Times New Roman"/>
                <w:color w:val="231F20"/>
                <w:sz w:val="24"/>
                <w:szCs w:val="24"/>
              </w:rPr>
            </w:pPr>
          </w:p>
        </w:tc>
      </w:tr>
      <w:tr w:rsidR="00547FCA" w:rsidRPr="007213EC" w14:paraId="5544C5D0" w14:textId="77777777" w:rsidTr="006E22BB">
        <w:tc>
          <w:tcPr>
            <w:tcW w:w="2955" w:type="dxa"/>
          </w:tcPr>
          <w:p w14:paraId="4A264DD2" w14:textId="77777777" w:rsidR="00547FCA" w:rsidRPr="003841C3" w:rsidRDefault="00547FCA" w:rsidP="00F34C79">
            <w:pPr>
              <w:pStyle w:val="BodyText"/>
              <w:spacing w:before="2"/>
              <w:rPr>
                <w:rFonts w:ascii="Times New Roman" w:eastAsiaTheme="minorEastAsia" w:cs="Times New Roman"/>
                <w:color w:val="231F20"/>
                <w:sz w:val="24"/>
                <w:szCs w:val="24"/>
              </w:rPr>
            </w:pPr>
            <w:r w:rsidRPr="003841C3">
              <w:rPr>
                <w:rFonts w:ascii="Times New Roman" w:eastAsiaTheme="minorEastAsia" w:cs="Times New Roman"/>
                <w:color w:val="231F20"/>
                <w:sz w:val="24"/>
                <w:szCs w:val="24"/>
              </w:rPr>
              <w:t>「本公司」</w:t>
            </w:r>
          </w:p>
        </w:tc>
        <w:tc>
          <w:tcPr>
            <w:tcW w:w="476" w:type="dxa"/>
          </w:tcPr>
          <w:p w14:paraId="3A8449DB" w14:textId="77777777" w:rsidR="00547FCA" w:rsidRPr="007213EC" w:rsidRDefault="00243291" w:rsidP="00F34C79">
            <w:pPr>
              <w:pStyle w:val="BodyText"/>
              <w:spacing w:before="2"/>
              <w:rPr>
                <w:rFonts w:ascii="Times New Roman" w:eastAsiaTheme="minorEastAsia" w:cs="Times New Roman"/>
                <w:color w:val="231F20"/>
                <w:sz w:val="24"/>
                <w:szCs w:val="24"/>
                <w:lang w:eastAsia="en-US"/>
              </w:rPr>
            </w:pPr>
            <w:r w:rsidRPr="007213EC">
              <w:rPr>
                <w:rFonts w:ascii="Times New Roman" w:eastAsiaTheme="minorEastAsia" w:cs="Times New Roman"/>
                <w:color w:val="231F20"/>
                <w:sz w:val="24"/>
                <w:szCs w:val="24"/>
                <w:lang w:eastAsia="zh-CN"/>
              </w:rPr>
              <w:t>指</w:t>
            </w:r>
          </w:p>
        </w:tc>
        <w:tc>
          <w:tcPr>
            <w:tcW w:w="6633" w:type="dxa"/>
          </w:tcPr>
          <w:p w14:paraId="00123340" w14:textId="61E49043" w:rsidR="00547FCA" w:rsidRPr="003841C3" w:rsidRDefault="00547FCA" w:rsidP="00163A60">
            <w:pPr>
              <w:pStyle w:val="BodyText"/>
              <w:spacing w:before="2"/>
              <w:jc w:val="both"/>
              <w:rPr>
                <w:rFonts w:ascii="Times New Roman" w:eastAsiaTheme="minorEastAsia" w:cs="Times New Roman"/>
                <w:color w:val="231F20"/>
                <w:sz w:val="24"/>
                <w:szCs w:val="24"/>
              </w:rPr>
            </w:pPr>
            <w:r w:rsidRPr="003841C3">
              <w:rPr>
                <w:rFonts w:ascii="Times New Roman" w:eastAsiaTheme="minorEastAsia" w:cs="Times New Roman"/>
                <w:color w:val="231F20"/>
                <w:sz w:val="24"/>
                <w:szCs w:val="24"/>
              </w:rPr>
              <w:t>亦辰集團有限公司，一間根據開曼群島法例註冊成立之公司，</w:t>
            </w:r>
            <w:r w:rsidR="00AE0336" w:rsidRPr="003841C3">
              <w:rPr>
                <w:rFonts w:ascii="Times New Roman" w:cs="Times New Roman"/>
                <w:color w:val="231F20"/>
                <w:sz w:val="24"/>
                <w:szCs w:val="24"/>
              </w:rPr>
              <w:t>其已發行股份於香港聯交所上市（股份代號：</w:t>
            </w:r>
            <w:r w:rsidR="00AE0336" w:rsidRPr="003841C3">
              <w:rPr>
                <w:rFonts w:ascii="Times New Roman" w:cs="Times New Roman"/>
                <w:color w:val="231F20"/>
                <w:sz w:val="24"/>
                <w:szCs w:val="24"/>
              </w:rPr>
              <w:t>8365</w:t>
            </w:r>
            <w:r w:rsidR="00AE0336" w:rsidRPr="003841C3">
              <w:rPr>
                <w:rFonts w:ascii="Times New Roman" w:cs="Times New Roman"/>
                <w:color w:val="231F20"/>
                <w:sz w:val="24"/>
                <w:szCs w:val="24"/>
              </w:rPr>
              <w:t>）</w:t>
            </w:r>
          </w:p>
        </w:tc>
      </w:tr>
      <w:tr w:rsidR="00547FCA" w:rsidRPr="007213EC" w14:paraId="3A4EE1FB" w14:textId="77777777" w:rsidTr="006E22BB">
        <w:tc>
          <w:tcPr>
            <w:tcW w:w="2955" w:type="dxa"/>
          </w:tcPr>
          <w:p w14:paraId="4A6592CE" w14:textId="77777777" w:rsidR="00547FCA" w:rsidRPr="003841C3" w:rsidRDefault="00547FCA" w:rsidP="00F34C79">
            <w:pPr>
              <w:pStyle w:val="BodyText"/>
              <w:spacing w:before="2"/>
              <w:rPr>
                <w:rFonts w:ascii="Times New Roman" w:eastAsiaTheme="minorEastAsia" w:cs="Times New Roman"/>
                <w:color w:val="231F20"/>
                <w:sz w:val="24"/>
                <w:szCs w:val="24"/>
              </w:rPr>
            </w:pPr>
          </w:p>
        </w:tc>
        <w:tc>
          <w:tcPr>
            <w:tcW w:w="476" w:type="dxa"/>
          </w:tcPr>
          <w:p w14:paraId="35BDD2EF" w14:textId="77777777" w:rsidR="00547FCA" w:rsidRPr="007213EC" w:rsidRDefault="00547FCA" w:rsidP="00F34C79">
            <w:pPr>
              <w:pStyle w:val="BodyText"/>
              <w:spacing w:before="2"/>
              <w:rPr>
                <w:rFonts w:ascii="Times New Roman" w:eastAsiaTheme="minorEastAsia" w:cs="Times New Roman"/>
                <w:color w:val="231F20"/>
                <w:sz w:val="24"/>
                <w:szCs w:val="24"/>
              </w:rPr>
            </w:pPr>
          </w:p>
        </w:tc>
        <w:tc>
          <w:tcPr>
            <w:tcW w:w="6633" w:type="dxa"/>
          </w:tcPr>
          <w:p w14:paraId="4E51FC75" w14:textId="77777777" w:rsidR="00547FCA" w:rsidRPr="003841C3" w:rsidRDefault="00547FCA" w:rsidP="00163A60">
            <w:pPr>
              <w:pStyle w:val="BodyText"/>
              <w:spacing w:before="2"/>
              <w:jc w:val="both"/>
              <w:rPr>
                <w:rFonts w:ascii="Times New Roman" w:eastAsiaTheme="minorEastAsia" w:cs="Times New Roman"/>
                <w:color w:val="231F20"/>
                <w:sz w:val="24"/>
                <w:szCs w:val="24"/>
              </w:rPr>
            </w:pPr>
          </w:p>
        </w:tc>
      </w:tr>
      <w:tr w:rsidR="00D20247" w:rsidRPr="007213EC" w14:paraId="375F634A" w14:textId="77777777" w:rsidTr="006E22BB">
        <w:tc>
          <w:tcPr>
            <w:tcW w:w="2955" w:type="dxa"/>
          </w:tcPr>
          <w:p w14:paraId="7F616169" w14:textId="3000C56A" w:rsidR="00D20247" w:rsidRPr="003841C3" w:rsidRDefault="00D20247" w:rsidP="00F34C79">
            <w:pPr>
              <w:pStyle w:val="BodyText"/>
              <w:spacing w:before="2"/>
              <w:rPr>
                <w:rFonts w:ascii="Times New Roman" w:eastAsiaTheme="minorEastAsia" w:cs="Times New Roman"/>
                <w:color w:val="231F20"/>
                <w:sz w:val="24"/>
                <w:szCs w:val="24"/>
              </w:rPr>
            </w:pPr>
            <w:r w:rsidRPr="003841C3">
              <w:rPr>
                <w:sz w:val="24"/>
                <w:szCs w:val="24"/>
              </w:rPr>
              <w:t>「完成</w:t>
            </w:r>
            <w:r w:rsidRPr="003841C3">
              <w:rPr>
                <w:rFonts w:hAnsi="PMingLiU" w:hint="eastAsia"/>
                <w:sz w:val="24"/>
                <w:szCs w:val="24"/>
              </w:rPr>
              <w:t>」</w:t>
            </w:r>
          </w:p>
        </w:tc>
        <w:tc>
          <w:tcPr>
            <w:tcW w:w="476" w:type="dxa"/>
          </w:tcPr>
          <w:p w14:paraId="55E2F094" w14:textId="77841FDF" w:rsidR="00D20247" w:rsidRPr="007213EC" w:rsidRDefault="00D20247" w:rsidP="00F34C79">
            <w:pPr>
              <w:pStyle w:val="BodyText"/>
              <w:spacing w:before="2"/>
              <w:rPr>
                <w:rFonts w:ascii="Times New Roman" w:eastAsiaTheme="minorEastAsia" w:cs="Times New Roman"/>
                <w:color w:val="231F20"/>
                <w:sz w:val="24"/>
                <w:szCs w:val="24"/>
              </w:rPr>
            </w:pPr>
            <w:r w:rsidRPr="007213EC">
              <w:rPr>
                <w:rFonts w:ascii="Times New Roman" w:eastAsiaTheme="minorEastAsia" w:cs="Times New Roman"/>
                <w:color w:val="231F20"/>
                <w:sz w:val="24"/>
                <w:szCs w:val="24"/>
                <w:lang w:eastAsia="zh-CN"/>
              </w:rPr>
              <w:t>指</w:t>
            </w:r>
          </w:p>
        </w:tc>
        <w:tc>
          <w:tcPr>
            <w:tcW w:w="6633" w:type="dxa"/>
          </w:tcPr>
          <w:p w14:paraId="7E344C48" w14:textId="2089DD9E" w:rsidR="00D20247" w:rsidRPr="003841C3" w:rsidRDefault="00D20247" w:rsidP="00163A60">
            <w:pPr>
              <w:pStyle w:val="BodyText"/>
              <w:spacing w:before="2"/>
              <w:jc w:val="both"/>
              <w:rPr>
                <w:rFonts w:ascii="Times New Roman" w:eastAsiaTheme="minorEastAsia" w:cs="Times New Roman"/>
                <w:color w:val="231F20"/>
                <w:sz w:val="24"/>
                <w:szCs w:val="24"/>
              </w:rPr>
            </w:pPr>
            <w:r w:rsidRPr="003841C3">
              <w:rPr>
                <w:rFonts w:ascii="Times New Roman" w:eastAsiaTheme="minorEastAsia" w:cs="Times New Roman"/>
                <w:color w:val="231F20"/>
                <w:sz w:val="24"/>
                <w:szCs w:val="24"/>
              </w:rPr>
              <w:t>根據認購協議之條款及條件完成認購事</w:t>
            </w:r>
            <w:r w:rsidRPr="003841C3">
              <w:rPr>
                <w:rFonts w:ascii="Times New Roman" w:eastAsiaTheme="minorEastAsia" w:cs="Times New Roman" w:hint="eastAsia"/>
                <w:color w:val="231F20"/>
                <w:sz w:val="24"/>
                <w:szCs w:val="24"/>
              </w:rPr>
              <w:t>項</w:t>
            </w:r>
          </w:p>
        </w:tc>
      </w:tr>
      <w:tr w:rsidR="00D20247" w:rsidRPr="007213EC" w14:paraId="15B3ECD0" w14:textId="77777777" w:rsidTr="006E22BB">
        <w:tc>
          <w:tcPr>
            <w:tcW w:w="2955" w:type="dxa"/>
          </w:tcPr>
          <w:p w14:paraId="4B53073E" w14:textId="77777777" w:rsidR="00D20247" w:rsidRPr="003841C3" w:rsidRDefault="00D20247" w:rsidP="00F34C79">
            <w:pPr>
              <w:pStyle w:val="BodyText"/>
              <w:spacing w:before="2"/>
              <w:rPr>
                <w:rFonts w:ascii="Times New Roman" w:eastAsiaTheme="minorEastAsia" w:cs="Times New Roman"/>
                <w:color w:val="231F20"/>
                <w:sz w:val="24"/>
                <w:szCs w:val="24"/>
              </w:rPr>
            </w:pPr>
          </w:p>
        </w:tc>
        <w:tc>
          <w:tcPr>
            <w:tcW w:w="476" w:type="dxa"/>
          </w:tcPr>
          <w:p w14:paraId="4B49C34B" w14:textId="77777777" w:rsidR="00D20247" w:rsidRPr="007213EC" w:rsidRDefault="00D20247" w:rsidP="00F34C79">
            <w:pPr>
              <w:pStyle w:val="BodyText"/>
              <w:spacing w:before="2"/>
              <w:rPr>
                <w:rFonts w:ascii="Times New Roman" w:eastAsiaTheme="minorEastAsia" w:cs="Times New Roman"/>
                <w:color w:val="231F20"/>
                <w:sz w:val="24"/>
                <w:szCs w:val="24"/>
              </w:rPr>
            </w:pPr>
          </w:p>
        </w:tc>
        <w:tc>
          <w:tcPr>
            <w:tcW w:w="6633" w:type="dxa"/>
          </w:tcPr>
          <w:p w14:paraId="67D5F20E" w14:textId="77777777" w:rsidR="00D20247" w:rsidRPr="003841C3" w:rsidRDefault="00D20247" w:rsidP="00163A60">
            <w:pPr>
              <w:pStyle w:val="BodyText"/>
              <w:spacing w:before="2"/>
              <w:jc w:val="both"/>
              <w:rPr>
                <w:rFonts w:ascii="Times New Roman" w:eastAsiaTheme="minorEastAsia" w:cs="Times New Roman"/>
                <w:color w:val="231F20"/>
                <w:sz w:val="24"/>
                <w:szCs w:val="24"/>
              </w:rPr>
            </w:pPr>
          </w:p>
        </w:tc>
      </w:tr>
      <w:tr w:rsidR="00547FCA" w:rsidRPr="007213EC" w14:paraId="4CF35B37" w14:textId="77777777" w:rsidTr="006E22BB">
        <w:tc>
          <w:tcPr>
            <w:tcW w:w="2955" w:type="dxa"/>
          </w:tcPr>
          <w:p w14:paraId="70DCE54B" w14:textId="77777777" w:rsidR="00547FCA" w:rsidRPr="003841C3" w:rsidRDefault="00547FCA" w:rsidP="00F34C79">
            <w:pPr>
              <w:pStyle w:val="BodyText"/>
              <w:spacing w:before="2"/>
              <w:rPr>
                <w:rFonts w:ascii="Times New Roman" w:eastAsiaTheme="minorEastAsia" w:cs="Times New Roman"/>
                <w:color w:val="231F20"/>
                <w:sz w:val="24"/>
                <w:szCs w:val="24"/>
                <w:lang w:eastAsia="en-US"/>
              </w:rPr>
            </w:pPr>
            <w:r w:rsidRPr="003841C3">
              <w:rPr>
                <w:rFonts w:ascii="Times New Roman" w:eastAsiaTheme="minorEastAsia" w:cs="Times New Roman"/>
                <w:sz w:val="24"/>
                <w:szCs w:val="24"/>
                <w:lang w:eastAsia="en-US"/>
              </w:rPr>
              <w:t>「關連人士」</w:t>
            </w:r>
          </w:p>
        </w:tc>
        <w:tc>
          <w:tcPr>
            <w:tcW w:w="476" w:type="dxa"/>
          </w:tcPr>
          <w:p w14:paraId="65555E90" w14:textId="77777777" w:rsidR="00547FCA" w:rsidRPr="007213EC" w:rsidRDefault="00243291" w:rsidP="00F34C79">
            <w:pPr>
              <w:pStyle w:val="BodyText"/>
              <w:spacing w:before="2"/>
              <w:rPr>
                <w:rFonts w:ascii="Times New Roman" w:eastAsiaTheme="minorEastAsia" w:cs="Times New Roman"/>
                <w:sz w:val="24"/>
                <w:szCs w:val="24"/>
                <w:lang w:eastAsia="en-US"/>
              </w:rPr>
            </w:pPr>
            <w:r w:rsidRPr="007213EC">
              <w:rPr>
                <w:rFonts w:ascii="Times New Roman" w:eastAsiaTheme="minorEastAsia" w:cs="Times New Roman"/>
                <w:color w:val="231F20"/>
                <w:sz w:val="24"/>
                <w:szCs w:val="24"/>
                <w:lang w:eastAsia="zh-CN"/>
              </w:rPr>
              <w:t>指</w:t>
            </w:r>
          </w:p>
        </w:tc>
        <w:tc>
          <w:tcPr>
            <w:tcW w:w="6633" w:type="dxa"/>
          </w:tcPr>
          <w:p w14:paraId="17199EF2" w14:textId="77777777" w:rsidR="00547FCA" w:rsidRPr="003841C3" w:rsidRDefault="00547FCA" w:rsidP="00163A60">
            <w:pPr>
              <w:pStyle w:val="BodyText"/>
              <w:spacing w:before="2"/>
              <w:jc w:val="both"/>
              <w:rPr>
                <w:rFonts w:ascii="Times New Roman" w:eastAsiaTheme="minorEastAsia" w:cs="Times New Roman"/>
                <w:color w:val="231F20"/>
                <w:sz w:val="24"/>
                <w:szCs w:val="24"/>
              </w:rPr>
            </w:pPr>
            <w:r w:rsidRPr="003841C3">
              <w:rPr>
                <w:rFonts w:ascii="Times New Roman" w:eastAsiaTheme="minorEastAsia" w:cs="Times New Roman"/>
                <w:sz w:val="24"/>
                <w:szCs w:val="24"/>
              </w:rPr>
              <w:t>具有</w:t>
            </w:r>
            <w:r w:rsidRPr="003841C3">
              <w:rPr>
                <w:rFonts w:ascii="Times New Roman" w:eastAsiaTheme="minorEastAsia" w:cs="Times New Roman"/>
                <w:sz w:val="24"/>
                <w:szCs w:val="24"/>
              </w:rPr>
              <w:t>GEM</w:t>
            </w:r>
            <w:r w:rsidRPr="003841C3">
              <w:rPr>
                <w:rFonts w:ascii="Times New Roman" w:eastAsiaTheme="minorEastAsia" w:cs="Times New Roman"/>
                <w:sz w:val="24"/>
                <w:szCs w:val="24"/>
              </w:rPr>
              <w:t>上市規則賦予該詞之涵義</w:t>
            </w:r>
          </w:p>
        </w:tc>
      </w:tr>
      <w:tr w:rsidR="00547FCA" w:rsidRPr="007213EC" w14:paraId="5BDE63A3" w14:textId="77777777" w:rsidTr="006E22BB">
        <w:tc>
          <w:tcPr>
            <w:tcW w:w="2955" w:type="dxa"/>
          </w:tcPr>
          <w:p w14:paraId="2EFF3AC0" w14:textId="77777777" w:rsidR="00547FCA" w:rsidRPr="003841C3" w:rsidRDefault="00547FCA" w:rsidP="00F34C79">
            <w:pPr>
              <w:pStyle w:val="BodyText"/>
              <w:spacing w:before="2"/>
              <w:rPr>
                <w:rFonts w:ascii="Times New Roman" w:eastAsiaTheme="minorEastAsia" w:cs="Times New Roman"/>
                <w:color w:val="231F20"/>
                <w:sz w:val="24"/>
                <w:szCs w:val="24"/>
              </w:rPr>
            </w:pPr>
          </w:p>
        </w:tc>
        <w:tc>
          <w:tcPr>
            <w:tcW w:w="476" w:type="dxa"/>
          </w:tcPr>
          <w:p w14:paraId="107DB590" w14:textId="77777777" w:rsidR="00547FCA" w:rsidRPr="007213EC" w:rsidRDefault="00547FCA" w:rsidP="00F34C79">
            <w:pPr>
              <w:pStyle w:val="BodyText"/>
              <w:spacing w:before="2"/>
              <w:rPr>
                <w:rFonts w:ascii="Times New Roman" w:eastAsiaTheme="minorEastAsia" w:cs="Times New Roman"/>
                <w:color w:val="231F20"/>
                <w:sz w:val="24"/>
                <w:szCs w:val="24"/>
              </w:rPr>
            </w:pPr>
          </w:p>
        </w:tc>
        <w:tc>
          <w:tcPr>
            <w:tcW w:w="6633" w:type="dxa"/>
          </w:tcPr>
          <w:p w14:paraId="41AB18AC" w14:textId="77777777" w:rsidR="00547FCA" w:rsidRPr="003841C3" w:rsidRDefault="00547FCA" w:rsidP="00163A60">
            <w:pPr>
              <w:pStyle w:val="BodyText"/>
              <w:spacing w:before="2"/>
              <w:jc w:val="both"/>
              <w:rPr>
                <w:rFonts w:ascii="Times New Roman" w:eastAsiaTheme="minorEastAsia" w:cs="Times New Roman"/>
                <w:color w:val="231F20"/>
                <w:sz w:val="24"/>
                <w:szCs w:val="24"/>
              </w:rPr>
            </w:pPr>
          </w:p>
        </w:tc>
      </w:tr>
      <w:tr w:rsidR="00547FCA" w:rsidRPr="007213EC" w14:paraId="009D1ABA" w14:textId="77777777" w:rsidTr="006E22BB">
        <w:tc>
          <w:tcPr>
            <w:tcW w:w="2955" w:type="dxa"/>
          </w:tcPr>
          <w:p w14:paraId="28FAA502" w14:textId="77777777" w:rsidR="00547FCA" w:rsidRPr="003841C3" w:rsidRDefault="00547FCA" w:rsidP="00F34C79">
            <w:pPr>
              <w:pStyle w:val="BodyText"/>
              <w:spacing w:before="2"/>
              <w:rPr>
                <w:rFonts w:ascii="Times New Roman" w:eastAsiaTheme="minorEastAsia" w:cs="Times New Roman"/>
                <w:color w:val="231F20"/>
                <w:sz w:val="24"/>
                <w:szCs w:val="24"/>
              </w:rPr>
            </w:pPr>
            <w:r w:rsidRPr="003841C3">
              <w:rPr>
                <w:rFonts w:ascii="Times New Roman" w:eastAsiaTheme="minorEastAsia" w:cs="Times New Roman"/>
                <w:sz w:val="24"/>
                <w:szCs w:val="24"/>
                <w:lang w:eastAsia="en-US"/>
              </w:rPr>
              <w:t>「董事」</w:t>
            </w:r>
          </w:p>
        </w:tc>
        <w:tc>
          <w:tcPr>
            <w:tcW w:w="476" w:type="dxa"/>
          </w:tcPr>
          <w:p w14:paraId="32991791" w14:textId="77777777" w:rsidR="00547FCA" w:rsidRPr="007213EC" w:rsidRDefault="00243291" w:rsidP="00F34C79">
            <w:pPr>
              <w:pStyle w:val="BodyText"/>
              <w:spacing w:before="2"/>
              <w:rPr>
                <w:rFonts w:ascii="Times New Roman" w:eastAsiaTheme="minorEastAsia" w:cs="Times New Roman"/>
                <w:color w:val="231F20"/>
                <w:sz w:val="24"/>
                <w:szCs w:val="24"/>
              </w:rPr>
            </w:pPr>
            <w:r w:rsidRPr="007213EC">
              <w:rPr>
                <w:rFonts w:ascii="Times New Roman" w:eastAsiaTheme="minorEastAsia" w:cs="Times New Roman"/>
                <w:color w:val="231F20"/>
                <w:sz w:val="24"/>
                <w:szCs w:val="24"/>
                <w:lang w:eastAsia="zh-CN"/>
              </w:rPr>
              <w:t>指</w:t>
            </w:r>
          </w:p>
        </w:tc>
        <w:tc>
          <w:tcPr>
            <w:tcW w:w="6633" w:type="dxa"/>
          </w:tcPr>
          <w:p w14:paraId="3629E759" w14:textId="77777777" w:rsidR="00547FCA" w:rsidRPr="003841C3" w:rsidRDefault="00547FCA" w:rsidP="00163A60">
            <w:pPr>
              <w:pStyle w:val="BodyText"/>
              <w:spacing w:before="2"/>
              <w:jc w:val="both"/>
              <w:rPr>
                <w:rFonts w:ascii="Times New Roman" w:eastAsiaTheme="minorEastAsia" w:cs="Times New Roman"/>
                <w:color w:val="231F20"/>
                <w:sz w:val="24"/>
                <w:szCs w:val="24"/>
              </w:rPr>
            </w:pPr>
            <w:r w:rsidRPr="003841C3">
              <w:rPr>
                <w:rFonts w:ascii="Times New Roman" w:eastAsiaTheme="minorEastAsia" w:cs="Times New Roman"/>
                <w:sz w:val="24"/>
                <w:szCs w:val="24"/>
                <w:lang w:eastAsia="en-US"/>
              </w:rPr>
              <w:t>本公司董事</w:t>
            </w:r>
          </w:p>
        </w:tc>
      </w:tr>
      <w:tr w:rsidR="00547FCA" w:rsidRPr="007213EC" w14:paraId="4BFA6184" w14:textId="77777777" w:rsidTr="006E22BB">
        <w:tc>
          <w:tcPr>
            <w:tcW w:w="2955" w:type="dxa"/>
          </w:tcPr>
          <w:p w14:paraId="2616F96F" w14:textId="77777777" w:rsidR="00547FCA" w:rsidRPr="003841C3" w:rsidRDefault="00547FCA" w:rsidP="00F34C79">
            <w:pPr>
              <w:pStyle w:val="BodyText"/>
              <w:spacing w:before="2"/>
              <w:rPr>
                <w:rFonts w:ascii="Times New Roman" w:eastAsiaTheme="minorEastAsia" w:cs="Times New Roman"/>
                <w:color w:val="231F20"/>
                <w:sz w:val="24"/>
                <w:szCs w:val="24"/>
              </w:rPr>
            </w:pPr>
          </w:p>
        </w:tc>
        <w:tc>
          <w:tcPr>
            <w:tcW w:w="476" w:type="dxa"/>
          </w:tcPr>
          <w:p w14:paraId="5A6BE314" w14:textId="77777777" w:rsidR="00547FCA" w:rsidRPr="007213EC" w:rsidRDefault="00547FCA" w:rsidP="00F34C79">
            <w:pPr>
              <w:pStyle w:val="BodyText"/>
              <w:spacing w:before="2"/>
              <w:rPr>
                <w:rFonts w:ascii="Times New Roman" w:eastAsiaTheme="minorEastAsia" w:cs="Times New Roman"/>
                <w:color w:val="231F20"/>
                <w:sz w:val="24"/>
                <w:szCs w:val="24"/>
              </w:rPr>
            </w:pPr>
          </w:p>
        </w:tc>
        <w:tc>
          <w:tcPr>
            <w:tcW w:w="6633" w:type="dxa"/>
          </w:tcPr>
          <w:p w14:paraId="77F34DBE" w14:textId="77777777" w:rsidR="00547FCA" w:rsidRPr="003841C3" w:rsidRDefault="00547FCA" w:rsidP="00163A60">
            <w:pPr>
              <w:pStyle w:val="BodyText"/>
              <w:spacing w:before="2"/>
              <w:jc w:val="both"/>
              <w:rPr>
                <w:rFonts w:ascii="Times New Roman" w:eastAsiaTheme="minorEastAsia" w:cs="Times New Roman"/>
                <w:color w:val="231F20"/>
                <w:sz w:val="24"/>
                <w:szCs w:val="24"/>
              </w:rPr>
            </w:pPr>
          </w:p>
        </w:tc>
      </w:tr>
      <w:tr w:rsidR="0090454F" w:rsidRPr="007213EC" w14:paraId="0D6254E5" w14:textId="77777777" w:rsidTr="006E22BB">
        <w:tc>
          <w:tcPr>
            <w:tcW w:w="2955" w:type="dxa"/>
          </w:tcPr>
          <w:p w14:paraId="12C6844F" w14:textId="6C24693C" w:rsidR="0090454F" w:rsidRPr="003841C3" w:rsidRDefault="0090454F" w:rsidP="00F34C79">
            <w:pPr>
              <w:pStyle w:val="BodyText"/>
              <w:spacing w:before="2"/>
              <w:rPr>
                <w:rFonts w:ascii="Times New Roman" w:eastAsiaTheme="minorEastAsia" w:cs="Times New Roman"/>
                <w:color w:val="231F20"/>
                <w:sz w:val="24"/>
                <w:szCs w:val="24"/>
              </w:rPr>
            </w:pPr>
            <w:r w:rsidRPr="003841C3">
              <w:rPr>
                <w:rFonts w:ascii="Times New Roman" w:eastAsiaTheme="minorEastAsia" w:cs="Times New Roman"/>
                <w:sz w:val="24"/>
                <w:szCs w:val="24"/>
                <w:lang w:eastAsia="en-US"/>
              </w:rPr>
              <w:t>「</w:t>
            </w:r>
            <w:r w:rsidRPr="003841C3">
              <w:rPr>
                <w:rFonts w:ascii="Times New Roman" w:eastAsiaTheme="minorEastAsia" w:cs="Times New Roman"/>
                <w:sz w:val="24"/>
                <w:szCs w:val="24"/>
                <w:lang w:eastAsia="en-US"/>
              </w:rPr>
              <w:t>GEM</w:t>
            </w:r>
            <w:r w:rsidRPr="003841C3">
              <w:rPr>
                <w:rFonts w:ascii="Times New Roman" w:eastAsiaTheme="minorEastAsia" w:cs="Times New Roman"/>
                <w:sz w:val="24"/>
                <w:szCs w:val="24"/>
                <w:lang w:eastAsia="en-US"/>
              </w:rPr>
              <w:t>」</w:t>
            </w:r>
          </w:p>
        </w:tc>
        <w:tc>
          <w:tcPr>
            <w:tcW w:w="476" w:type="dxa"/>
          </w:tcPr>
          <w:p w14:paraId="64CE7A47" w14:textId="491BD219" w:rsidR="0090454F" w:rsidRPr="007213EC" w:rsidRDefault="0090454F" w:rsidP="00F34C79">
            <w:pPr>
              <w:pStyle w:val="BodyText"/>
              <w:spacing w:before="2"/>
              <w:rPr>
                <w:rFonts w:ascii="Times New Roman" w:eastAsiaTheme="minorEastAsia" w:cs="Times New Roman"/>
                <w:color w:val="231F20"/>
                <w:sz w:val="24"/>
                <w:szCs w:val="24"/>
              </w:rPr>
            </w:pPr>
            <w:r w:rsidRPr="007213EC">
              <w:rPr>
                <w:rFonts w:ascii="Times New Roman" w:eastAsiaTheme="minorEastAsia" w:cs="Times New Roman"/>
                <w:color w:val="231F20"/>
                <w:sz w:val="24"/>
                <w:szCs w:val="24"/>
                <w:lang w:eastAsia="zh-CN"/>
              </w:rPr>
              <w:t>指</w:t>
            </w:r>
          </w:p>
        </w:tc>
        <w:tc>
          <w:tcPr>
            <w:tcW w:w="6633" w:type="dxa"/>
          </w:tcPr>
          <w:p w14:paraId="6035DCBE" w14:textId="15CB77C8" w:rsidR="0090454F" w:rsidRPr="003841C3" w:rsidRDefault="0090454F" w:rsidP="00163A60">
            <w:pPr>
              <w:pStyle w:val="BodyText"/>
              <w:spacing w:before="2"/>
              <w:jc w:val="both"/>
              <w:rPr>
                <w:rFonts w:ascii="Times New Roman" w:eastAsiaTheme="minorEastAsia" w:cs="Times New Roman"/>
                <w:color w:val="231F20"/>
                <w:sz w:val="24"/>
                <w:szCs w:val="24"/>
              </w:rPr>
            </w:pPr>
            <w:r w:rsidRPr="003841C3">
              <w:rPr>
                <w:rFonts w:ascii="Times New Roman" w:eastAsiaTheme="minorEastAsia" w:cs="Times New Roman"/>
                <w:sz w:val="24"/>
                <w:szCs w:val="24"/>
                <w:lang w:eastAsia="en-US"/>
              </w:rPr>
              <w:t>聯交所營運之</w:t>
            </w:r>
            <w:r w:rsidRPr="003841C3">
              <w:rPr>
                <w:rFonts w:ascii="Times New Roman" w:eastAsiaTheme="minorEastAsia" w:cs="Times New Roman"/>
                <w:sz w:val="24"/>
                <w:szCs w:val="24"/>
                <w:lang w:eastAsia="en-US"/>
              </w:rPr>
              <w:t xml:space="preserve"> GEM</w:t>
            </w:r>
          </w:p>
        </w:tc>
      </w:tr>
      <w:tr w:rsidR="0090454F" w:rsidRPr="007213EC" w14:paraId="76B604F6" w14:textId="77777777" w:rsidTr="006E22BB">
        <w:tc>
          <w:tcPr>
            <w:tcW w:w="2955" w:type="dxa"/>
          </w:tcPr>
          <w:p w14:paraId="047E45D1" w14:textId="77777777" w:rsidR="0090454F" w:rsidRPr="003841C3" w:rsidRDefault="0090454F" w:rsidP="00F34C79">
            <w:pPr>
              <w:pStyle w:val="BodyText"/>
              <w:spacing w:before="2"/>
              <w:rPr>
                <w:rFonts w:ascii="Times New Roman" w:eastAsiaTheme="minorEastAsia" w:cs="Times New Roman"/>
                <w:color w:val="231F20"/>
                <w:sz w:val="24"/>
                <w:szCs w:val="24"/>
              </w:rPr>
            </w:pPr>
          </w:p>
        </w:tc>
        <w:tc>
          <w:tcPr>
            <w:tcW w:w="476" w:type="dxa"/>
          </w:tcPr>
          <w:p w14:paraId="7B4922B0" w14:textId="77777777" w:rsidR="0090454F" w:rsidRPr="007213EC" w:rsidRDefault="0090454F" w:rsidP="00F34C79">
            <w:pPr>
              <w:pStyle w:val="BodyText"/>
              <w:spacing w:before="2"/>
              <w:rPr>
                <w:rFonts w:ascii="Times New Roman" w:eastAsiaTheme="minorEastAsia" w:cs="Times New Roman"/>
                <w:color w:val="231F20"/>
                <w:sz w:val="24"/>
                <w:szCs w:val="24"/>
              </w:rPr>
            </w:pPr>
          </w:p>
        </w:tc>
        <w:tc>
          <w:tcPr>
            <w:tcW w:w="6633" w:type="dxa"/>
          </w:tcPr>
          <w:p w14:paraId="3FC4A9E1" w14:textId="77777777" w:rsidR="0090454F" w:rsidRPr="003841C3" w:rsidRDefault="0090454F" w:rsidP="00163A60">
            <w:pPr>
              <w:pStyle w:val="BodyText"/>
              <w:spacing w:before="2"/>
              <w:jc w:val="both"/>
              <w:rPr>
                <w:rFonts w:ascii="Times New Roman" w:eastAsiaTheme="minorEastAsia" w:cs="Times New Roman"/>
                <w:color w:val="231F20"/>
                <w:sz w:val="24"/>
                <w:szCs w:val="24"/>
              </w:rPr>
            </w:pPr>
          </w:p>
        </w:tc>
      </w:tr>
      <w:tr w:rsidR="00547FCA" w:rsidRPr="007213EC" w14:paraId="31BEDAB2" w14:textId="77777777" w:rsidTr="006E22BB">
        <w:tc>
          <w:tcPr>
            <w:tcW w:w="2955" w:type="dxa"/>
          </w:tcPr>
          <w:p w14:paraId="0575BF8B" w14:textId="77777777" w:rsidR="00547FCA" w:rsidRPr="003841C3" w:rsidRDefault="00547FCA" w:rsidP="00547FCA">
            <w:pPr>
              <w:pStyle w:val="BodyText"/>
              <w:spacing w:before="2"/>
              <w:rPr>
                <w:rFonts w:ascii="Times New Roman" w:eastAsiaTheme="minorEastAsia" w:cs="Times New Roman"/>
                <w:color w:val="231F20"/>
                <w:sz w:val="24"/>
                <w:szCs w:val="24"/>
              </w:rPr>
            </w:pPr>
            <w:r w:rsidRPr="003841C3">
              <w:rPr>
                <w:rFonts w:ascii="Times New Roman" w:eastAsiaTheme="minorEastAsia" w:cs="Times New Roman"/>
                <w:sz w:val="24"/>
                <w:szCs w:val="24"/>
                <w:lang w:eastAsia="en-US"/>
              </w:rPr>
              <w:t>「</w:t>
            </w:r>
            <w:r w:rsidRPr="003841C3">
              <w:rPr>
                <w:rFonts w:ascii="Times New Roman" w:eastAsiaTheme="minorEastAsia" w:cs="Times New Roman"/>
                <w:sz w:val="24"/>
                <w:szCs w:val="24"/>
                <w:lang w:eastAsia="en-US"/>
              </w:rPr>
              <w:t>GEM</w:t>
            </w:r>
            <w:r w:rsidRPr="003841C3">
              <w:rPr>
                <w:rFonts w:ascii="Times New Roman" w:eastAsiaTheme="minorEastAsia" w:cs="Times New Roman"/>
                <w:sz w:val="24"/>
                <w:szCs w:val="24"/>
                <w:lang w:eastAsia="en-US"/>
              </w:rPr>
              <w:t>上市規則」</w:t>
            </w:r>
          </w:p>
        </w:tc>
        <w:tc>
          <w:tcPr>
            <w:tcW w:w="476" w:type="dxa"/>
          </w:tcPr>
          <w:p w14:paraId="1141F3AB" w14:textId="77777777" w:rsidR="00547FCA" w:rsidRPr="007213EC" w:rsidRDefault="00243291" w:rsidP="00F34C79">
            <w:pPr>
              <w:pStyle w:val="BodyText"/>
              <w:spacing w:before="2"/>
              <w:rPr>
                <w:rFonts w:ascii="Times New Roman" w:eastAsiaTheme="minorEastAsia" w:cs="Times New Roman"/>
                <w:color w:val="231F20"/>
                <w:sz w:val="24"/>
                <w:szCs w:val="24"/>
              </w:rPr>
            </w:pPr>
            <w:r w:rsidRPr="007213EC">
              <w:rPr>
                <w:rFonts w:ascii="Times New Roman" w:eastAsiaTheme="minorEastAsia" w:cs="Times New Roman"/>
                <w:color w:val="231F20"/>
                <w:sz w:val="24"/>
                <w:szCs w:val="24"/>
                <w:lang w:eastAsia="zh-CN"/>
              </w:rPr>
              <w:t>指</w:t>
            </w:r>
          </w:p>
        </w:tc>
        <w:tc>
          <w:tcPr>
            <w:tcW w:w="6633" w:type="dxa"/>
          </w:tcPr>
          <w:p w14:paraId="2A2D9521" w14:textId="77777777" w:rsidR="00547FCA" w:rsidRPr="003841C3" w:rsidRDefault="00547FCA" w:rsidP="00163A60">
            <w:pPr>
              <w:pStyle w:val="BodyText"/>
              <w:spacing w:before="2"/>
              <w:jc w:val="both"/>
              <w:rPr>
                <w:rFonts w:ascii="Times New Roman" w:eastAsiaTheme="minorEastAsia" w:cs="Times New Roman"/>
                <w:color w:val="231F20"/>
                <w:sz w:val="24"/>
                <w:szCs w:val="24"/>
              </w:rPr>
            </w:pPr>
            <w:r w:rsidRPr="003841C3">
              <w:rPr>
                <w:rFonts w:ascii="Times New Roman" w:eastAsiaTheme="minorEastAsia" w:cs="Times New Roman"/>
                <w:sz w:val="24"/>
                <w:szCs w:val="24"/>
              </w:rPr>
              <w:t>聯交所</w:t>
            </w:r>
            <w:r w:rsidR="00986851" w:rsidRPr="003841C3">
              <w:rPr>
                <w:rFonts w:ascii="Times New Roman" w:eastAsiaTheme="minorEastAsia" w:cs="Times New Roman"/>
                <w:sz w:val="24"/>
                <w:szCs w:val="24"/>
              </w:rPr>
              <w:t>GEM</w:t>
            </w:r>
            <w:r w:rsidRPr="003841C3">
              <w:rPr>
                <w:rFonts w:ascii="Times New Roman" w:eastAsiaTheme="minorEastAsia" w:cs="Times New Roman"/>
                <w:sz w:val="24"/>
                <w:szCs w:val="24"/>
              </w:rPr>
              <w:t>證券上市規則</w:t>
            </w:r>
          </w:p>
        </w:tc>
      </w:tr>
      <w:tr w:rsidR="00547FCA" w:rsidRPr="007213EC" w14:paraId="2EF1738F" w14:textId="77777777" w:rsidTr="006E22BB">
        <w:tc>
          <w:tcPr>
            <w:tcW w:w="2955" w:type="dxa"/>
          </w:tcPr>
          <w:p w14:paraId="01D8B1FD" w14:textId="77777777" w:rsidR="00547FCA" w:rsidRPr="003841C3" w:rsidRDefault="00547FCA" w:rsidP="00F34C79">
            <w:pPr>
              <w:pStyle w:val="BodyText"/>
              <w:spacing w:before="2"/>
              <w:rPr>
                <w:rFonts w:ascii="Times New Roman" w:eastAsiaTheme="minorEastAsia" w:cs="Times New Roman"/>
                <w:color w:val="231F20"/>
                <w:sz w:val="24"/>
                <w:szCs w:val="24"/>
              </w:rPr>
            </w:pPr>
          </w:p>
        </w:tc>
        <w:tc>
          <w:tcPr>
            <w:tcW w:w="476" w:type="dxa"/>
          </w:tcPr>
          <w:p w14:paraId="7130E9C9" w14:textId="77777777" w:rsidR="00547FCA" w:rsidRPr="007213EC" w:rsidRDefault="00547FCA" w:rsidP="00F34C79">
            <w:pPr>
              <w:pStyle w:val="BodyText"/>
              <w:spacing w:before="2"/>
              <w:rPr>
                <w:rFonts w:ascii="Times New Roman" w:eastAsiaTheme="minorEastAsia" w:cs="Times New Roman"/>
                <w:color w:val="231F20"/>
                <w:sz w:val="24"/>
                <w:szCs w:val="24"/>
              </w:rPr>
            </w:pPr>
          </w:p>
        </w:tc>
        <w:tc>
          <w:tcPr>
            <w:tcW w:w="6633" w:type="dxa"/>
          </w:tcPr>
          <w:p w14:paraId="7C85AAAC" w14:textId="77777777" w:rsidR="00547FCA" w:rsidRPr="003841C3" w:rsidRDefault="00547FCA" w:rsidP="00163A60">
            <w:pPr>
              <w:pStyle w:val="BodyText"/>
              <w:spacing w:before="2"/>
              <w:jc w:val="both"/>
              <w:rPr>
                <w:rFonts w:ascii="Times New Roman" w:eastAsiaTheme="minorEastAsia" w:cs="Times New Roman"/>
                <w:color w:val="231F20"/>
                <w:sz w:val="24"/>
                <w:szCs w:val="24"/>
              </w:rPr>
            </w:pPr>
          </w:p>
        </w:tc>
      </w:tr>
      <w:tr w:rsidR="00D86C02" w:rsidRPr="007213EC" w14:paraId="6C3A6130" w14:textId="77777777" w:rsidTr="006E22BB">
        <w:tc>
          <w:tcPr>
            <w:tcW w:w="2955" w:type="dxa"/>
          </w:tcPr>
          <w:p w14:paraId="1A4A7274" w14:textId="4E29D4A3" w:rsidR="00D86C02" w:rsidRPr="003841C3" w:rsidRDefault="00D86C02" w:rsidP="00F34C79">
            <w:pPr>
              <w:pStyle w:val="BodyText"/>
              <w:spacing w:before="2"/>
              <w:rPr>
                <w:sz w:val="24"/>
                <w:szCs w:val="24"/>
              </w:rPr>
            </w:pPr>
            <w:r w:rsidRPr="003841C3">
              <w:rPr>
                <w:sz w:val="24"/>
                <w:szCs w:val="24"/>
              </w:rPr>
              <w:t>「一般授權」</w:t>
            </w:r>
          </w:p>
        </w:tc>
        <w:tc>
          <w:tcPr>
            <w:tcW w:w="476" w:type="dxa"/>
          </w:tcPr>
          <w:p w14:paraId="351598CB" w14:textId="491CDDE0" w:rsidR="00D86C02" w:rsidRPr="007213EC" w:rsidRDefault="00D86C02" w:rsidP="00F34C79">
            <w:pPr>
              <w:pStyle w:val="BodyText"/>
              <w:spacing w:before="2"/>
              <w:rPr>
                <w:rFonts w:ascii="Times New Roman" w:eastAsiaTheme="minorEastAsia" w:cs="Times New Roman"/>
                <w:color w:val="231F20"/>
                <w:sz w:val="24"/>
                <w:szCs w:val="24"/>
              </w:rPr>
            </w:pPr>
            <w:r w:rsidRPr="007213EC">
              <w:rPr>
                <w:rFonts w:ascii="Times New Roman" w:eastAsiaTheme="minorEastAsia" w:cs="Times New Roman"/>
                <w:color w:val="231F20"/>
                <w:sz w:val="24"/>
                <w:szCs w:val="24"/>
                <w:lang w:eastAsia="zh-CN"/>
              </w:rPr>
              <w:t>指</w:t>
            </w:r>
          </w:p>
        </w:tc>
        <w:tc>
          <w:tcPr>
            <w:tcW w:w="6633" w:type="dxa"/>
          </w:tcPr>
          <w:p w14:paraId="1893769F" w14:textId="1D344488" w:rsidR="00D86C02" w:rsidRPr="003841C3" w:rsidRDefault="00D86C02" w:rsidP="00163A60">
            <w:pPr>
              <w:pStyle w:val="BodyText"/>
              <w:spacing w:before="2"/>
              <w:jc w:val="both"/>
              <w:rPr>
                <w:rFonts w:ascii="Times New Roman" w:eastAsiaTheme="minorEastAsia" w:cs="Times New Roman"/>
                <w:sz w:val="24"/>
                <w:szCs w:val="24"/>
              </w:rPr>
            </w:pPr>
            <w:r w:rsidRPr="003841C3">
              <w:rPr>
                <w:sz w:val="24"/>
                <w:szCs w:val="24"/>
              </w:rPr>
              <w:t>股東於股東週年大會上授予董事的授權，以發行、配發及處理於股東週年大會日期本公司已發行股本最多20%的股</w:t>
            </w:r>
            <w:r w:rsidRPr="003841C3">
              <w:rPr>
                <w:rFonts w:hAnsi="PMingLiU" w:hint="eastAsia"/>
                <w:sz w:val="24"/>
                <w:szCs w:val="24"/>
              </w:rPr>
              <w:t>份</w:t>
            </w:r>
          </w:p>
        </w:tc>
      </w:tr>
      <w:tr w:rsidR="00692C4E" w:rsidRPr="007213EC" w14:paraId="46B19F7F" w14:textId="77777777" w:rsidTr="006E22BB">
        <w:tc>
          <w:tcPr>
            <w:tcW w:w="2955" w:type="dxa"/>
          </w:tcPr>
          <w:p w14:paraId="2ABF6866" w14:textId="77777777" w:rsidR="00692C4E" w:rsidRPr="003841C3" w:rsidRDefault="00692C4E" w:rsidP="00692C4E">
            <w:pPr>
              <w:pStyle w:val="BodyText"/>
              <w:spacing w:before="2"/>
              <w:rPr>
                <w:sz w:val="24"/>
                <w:szCs w:val="24"/>
              </w:rPr>
            </w:pPr>
          </w:p>
        </w:tc>
        <w:tc>
          <w:tcPr>
            <w:tcW w:w="476" w:type="dxa"/>
          </w:tcPr>
          <w:p w14:paraId="0C14DEAF" w14:textId="77777777" w:rsidR="00692C4E" w:rsidRPr="007213EC" w:rsidRDefault="00692C4E" w:rsidP="00692C4E">
            <w:pPr>
              <w:pStyle w:val="BodyText"/>
              <w:spacing w:before="2"/>
              <w:rPr>
                <w:rFonts w:ascii="Times New Roman" w:eastAsiaTheme="minorEastAsia" w:cs="Times New Roman"/>
                <w:color w:val="231F20"/>
                <w:sz w:val="24"/>
                <w:szCs w:val="24"/>
              </w:rPr>
            </w:pPr>
          </w:p>
        </w:tc>
        <w:tc>
          <w:tcPr>
            <w:tcW w:w="6633" w:type="dxa"/>
          </w:tcPr>
          <w:p w14:paraId="17AF99F2" w14:textId="77777777" w:rsidR="00692C4E" w:rsidRPr="003841C3" w:rsidRDefault="00692C4E" w:rsidP="00692C4E">
            <w:pPr>
              <w:pStyle w:val="BodyText"/>
              <w:spacing w:before="2"/>
              <w:jc w:val="both"/>
              <w:rPr>
                <w:rFonts w:ascii="Times New Roman" w:eastAsiaTheme="minorEastAsia" w:cs="Times New Roman"/>
                <w:sz w:val="24"/>
                <w:szCs w:val="24"/>
              </w:rPr>
            </w:pPr>
          </w:p>
        </w:tc>
      </w:tr>
      <w:tr w:rsidR="00692C4E" w:rsidRPr="007213EC" w14:paraId="34C5B2C0" w14:textId="77777777" w:rsidTr="006E22BB">
        <w:tc>
          <w:tcPr>
            <w:tcW w:w="2955" w:type="dxa"/>
          </w:tcPr>
          <w:p w14:paraId="50AD970D" w14:textId="7EE6A8A7" w:rsidR="00692C4E" w:rsidRPr="003841C3" w:rsidRDefault="00692C4E" w:rsidP="00692C4E">
            <w:pPr>
              <w:pStyle w:val="BodyText"/>
              <w:spacing w:before="2"/>
              <w:rPr>
                <w:sz w:val="24"/>
                <w:szCs w:val="24"/>
              </w:rPr>
            </w:pPr>
            <w:r w:rsidRPr="003841C3">
              <w:rPr>
                <w:rFonts w:ascii="Times New Roman" w:eastAsiaTheme="minorEastAsia" w:cs="Times New Roman"/>
                <w:sz w:val="24"/>
                <w:szCs w:val="24"/>
              </w:rPr>
              <w:t>「香港」</w:t>
            </w:r>
          </w:p>
        </w:tc>
        <w:tc>
          <w:tcPr>
            <w:tcW w:w="476" w:type="dxa"/>
          </w:tcPr>
          <w:p w14:paraId="2E88A910" w14:textId="71E11D54" w:rsidR="00692C4E" w:rsidRPr="007213EC" w:rsidRDefault="00692C4E" w:rsidP="00692C4E">
            <w:pPr>
              <w:pStyle w:val="BodyText"/>
              <w:spacing w:before="2"/>
              <w:rPr>
                <w:rFonts w:ascii="Times New Roman" w:eastAsiaTheme="minorEastAsia" w:cs="Times New Roman"/>
                <w:color w:val="231F20"/>
                <w:sz w:val="24"/>
                <w:szCs w:val="24"/>
              </w:rPr>
            </w:pPr>
            <w:r w:rsidRPr="007213EC">
              <w:rPr>
                <w:rFonts w:ascii="Times New Roman" w:eastAsiaTheme="minorEastAsia" w:cs="Times New Roman"/>
                <w:color w:val="231F20"/>
                <w:sz w:val="24"/>
                <w:szCs w:val="24"/>
                <w:lang w:eastAsia="zh-CN"/>
              </w:rPr>
              <w:t>指</w:t>
            </w:r>
          </w:p>
        </w:tc>
        <w:tc>
          <w:tcPr>
            <w:tcW w:w="6633" w:type="dxa"/>
          </w:tcPr>
          <w:p w14:paraId="4BCA8E66" w14:textId="642F19B9" w:rsidR="00692C4E" w:rsidRPr="003841C3" w:rsidRDefault="00692C4E" w:rsidP="00692C4E">
            <w:pPr>
              <w:pStyle w:val="BodyText"/>
              <w:spacing w:before="2"/>
              <w:jc w:val="both"/>
              <w:rPr>
                <w:rFonts w:ascii="Times New Roman" w:eastAsiaTheme="minorEastAsia" w:cs="Times New Roman"/>
                <w:sz w:val="24"/>
                <w:szCs w:val="24"/>
              </w:rPr>
            </w:pPr>
            <w:r w:rsidRPr="003841C3">
              <w:rPr>
                <w:rFonts w:ascii="Times New Roman" w:eastAsiaTheme="minorEastAsia" w:cs="Times New Roman"/>
                <w:sz w:val="24"/>
                <w:szCs w:val="24"/>
              </w:rPr>
              <w:t>中華人民共和國香港特別行政</w:t>
            </w:r>
            <w:r w:rsidRPr="003841C3">
              <w:rPr>
                <w:rFonts w:ascii="Times New Roman" w:eastAsiaTheme="minorEastAsia" w:cs="Times New Roman" w:hint="eastAsia"/>
                <w:sz w:val="24"/>
                <w:szCs w:val="24"/>
              </w:rPr>
              <w:t>區</w:t>
            </w:r>
          </w:p>
        </w:tc>
      </w:tr>
      <w:tr w:rsidR="00692C4E" w:rsidRPr="007213EC" w14:paraId="7AA6F978" w14:textId="77777777" w:rsidTr="006E22BB">
        <w:tc>
          <w:tcPr>
            <w:tcW w:w="2955" w:type="dxa"/>
          </w:tcPr>
          <w:p w14:paraId="05BA8FC5" w14:textId="77777777" w:rsidR="00692C4E" w:rsidRPr="003841C3" w:rsidRDefault="00692C4E" w:rsidP="00692C4E">
            <w:pPr>
              <w:pStyle w:val="BodyText"/>
              <w:spacing w:before="2"/>
              <w:rPr>
                <w:sz w:val="24"/>
                <w:szCs w:val="24"/>
              </w:rPr>
            </w:pPr>
          </w:p>
        </w:tc>
        <w:tc>
          <w:tcPr>
            <w:tcW w:w="476" w:type="dxa"/>
          </w:tcPr>
          <w:p w14:paraId="612A3D33" w14:textId="77777777" w:rsidR="00692C4E" w:rsidRPr="007213EC" w:rsidRDefault="00692C4E" w:rsidP="00692C4E">
            <w:pPr>
              <w:pStyle w:val="BodyText"/>
              <w:spacing w:before="2"/>
              <w:rPr>
                <w:rFonts w:ascii="Times New Roman" w:eastAsiaTheme="minorEastAsia" w:cs="Times New Roman"/>
                <w:color w:val="231F20"/>
                <w:sz w:val="24"/>
                <w:szCs w:val="24"/>
              </w:rPr>
            </w:pPr>
          </w:p>
        </w:tc>
        <w:tc>
          <w:tcPr>
            <w:tcW w:w="6633" w:type="dxa"/>
          </w:tcPr>
          <w:p w14:paraId="2C7AB60E" w14:textId="77777777" w:rsidR="00692C4E" w:rsidRPr="003841C3" w:rsidRDefault="00692C4E" w:rsidP="00692C4E">
            <w:pPr>
              <w:pStyle w:val="BodyText"/>
              <w:spacing w:before="2"/>
              <w:jc w:val="both"/>
              <w:rPr>
                <w:rFonts w:ascii="Times New Roman" w:eastAsiaTheme="minorEastAsia" w:cs="Times New Roman"/>
                <w:sz w:val="24"/>
                <w:szCs w:val="24"/>
              </w:rPr>
            </w:pPr>
          </w:p>
        </w:tc>
      </w:tr>
      <w:tr w:rsidR="00692C4E" w:rsidRPr="007213EC" w14:paraId="26136D09" w14:textId="77777777" w:rsidTr="006E22BB">
        <w:tc>
          <w:tcPr>
            <w:tcW w:w="2955" w:type="dxa"/>
          </w:tcPr>
          <w:p w14:paraId="11871C80" w14:textId="013C5DCA" w:rsidR="00692C4E" w:rsidRPr="003841C3" w:rsidRDefault="00692C4E" w:rsidP="00692C4E">
            <w:pPr>
              <w:pStyle w:val="BodyText"/>
              <w:spacing w:before="2"/>
              <w:rPr>
                <w:sz w:val="24"/>
                <w:szCs w:val="24"/>
              </w:rPr>
            </w:pPr>
            <w:r w:rsidRPr="003841C3">
              <w:rPr>
                <w:rFonts w:ascii="Times New Roman" w:eastAsiaTheme="minorEastAsia" w:cs="Times New Roman"/>
                <w:sz w:val="24"/>
                <w:szCs w:val="24"/>
              </w:rPr>
              <w:t>「港元</w:t>
            </w:r>
            <w:r w:rsidRPr="003841C3">
              <w:rPr>
                <w:rFonts w:ascii="Times New Roman" w:eastAsiaTheme="minorEastAsia" w:cs="Times New Roman" w:hint="eastAsia"/>
                <w:sz w:val="24"/>
                <w:szCs w:val="24"/>
              </w:rPr>
              <w:t>」</w:t>
            </w:r>
          </w:p>
        </w:tc>
        <w:tc>
          <w:tcPr>
            <w:tcW w:w="476" w:type="dxa"/>
          </w:tcPr>
          <w:p w14:paraId="075D24AF" w14:textId="38477519" w:rsidR="00692C4E" w:rsidRPr="007213EC" w:rsidRDefault="00692C4E" w:rsidP="00692C4E">
            <w:pPr>
              <w:pStyle w:val="BodyText"/>
              <w:spacing w:before="2"/>
              <w:rPr>
                <w:rFonts w:ascii="Times New Roman" w:eastAsiaTheme="minorEastAsia" w:cs="Times New Roman"/>
                <w:color w:val="231F20"/>
                <w:sz w:val="24"/>
                <w:szCs w:val="24"/>
                <w:lang w:eastAsia="zh-CN"/>
              </w:rPr>
            </w:pPr>
            <w:r w:rsidRPr="007213EC">
              <w:rPr>
                <w:rFonts w:ascii="Times New Roman" w:eastAsiaTheme="minorEastAsia" w:cs="Times New Roman"/>
                <w:color w:val="231F20"/>
                <w:sz w:val="24"/>
                <w:szCs w:val="24"/>
                <w:lang w:eastAsia="zh-CN"/>
              </w:rPr>
              <w:t>指</w:t>
            </w:r>
          </w:p>
        </w:tc>
        <w:tc>
          <w:tcPr>
            <w:tcW w:w="6633" w:type="dxa"/>
          </w:tcPr>
          <w:p w14:paraId="1B54FA4F" w14:textId="7DDE8EEB" w:rsidR="00692C4E" w:rsidRPr="003841C3" w:rsidRDefault="00692C4E" w:rsidP="00692C4E">
            <w:pPr>
              <w:pStyle w:val="BodyText"/>
              <w:spacing w:before="2"/>
              <w:jc w:val="both"/>
              <w:rPr>
                <w:rFonts w:ascii="Times New Roman" w:eastAsiaTheme="minorEastAsia" w:cs="Times New Roman"/>
                <w:sz w:val="24"/>
                <w:szCs w:val="24"/>
              </w:rPr>
            </w:pPr>
            <w:r w:rsidRPr="003841C3">
              <w:rPr>
                <w:rFonts w:ascii="Times New Roman" w:eastAsiaTheme="minorEastAsia" w:cs="Times New Roman"/>
                <w:sz w:val="24"/>
                <w:szCs w:val="24"/>
              </w:rPr>
              <w:t>港元，香港法定貨</w:t>
            </w:r>
            <w:r w:rsidRPr="003841C3">
              <w:rPr>
                <w:rFonts w:ascii="Times New Roman" w:eastAsiaTheme="minorEastAsia" w:cs="Times New Roman" w:hint="eastAsia"/>
                <w:sz w:val="24"/>
                <w:szCs w:val="24"/>
              </w:rPr>
              <w:t>幣</w:t>
            </w:r>
          </w:p>
        </w:tc>
      </w:tr>
      <w:tr w:rsidR="00692C4E" w:rsidRPr="007213EC" w14:paraId="3C90662C" w14:textId="77777777" w:rsidTr="006E22BB">
        <w:tc>
          <w:tcPr>
            <w:tcW w:w="2955" w:type="dxa"/>
          </w:tcPr>
          <w:p w14:paraId="7E69D8A1" w14:textId="77777777" w:rsidR="00692C4E" w:rsidRPr="003841C3" w:rsidRDefault="00692C4E" w:rsidP="00692C4E">
            <w:pPr>
              <w:pStyle w:val="BodyText"/>
              <w:spacing w:before="2"/>
              <w:rPr>
                <w:rFonts w:ascii="Times New Roman" w:eastAsiaTheme="minorEastAsia" w:cs="Times New Roman"/>
                <w:color w:val="231F20"/>
                <w:sz w:val="24"/>
                <w:szCs w:val="24"/>
              </w:rPr>
            </w:pPr>
          </w:p>
        </w:tc>
        <w:tc>
          <w:tcPr>
            <w:tcW w:w="476" w:type="dxa"/>
          </w:tcPr>
          <w:p w14:paraId="3DA893AC" w14:textId="77777777" w:rsidR="00692C4E" w:rsidRPr="007213EC" w:rsidRDefault="00692C4E" w:rsidP="00692C4E">
            <w:pPr>
              <w:pStyle w:val="BodyText"/>
              <w:spacing w:before="2"/>
              <w:rPr>
                <w:rFonts w:ascii="Times New Roman" w:eastAsiaTheme="minorEastAsia" w:cs="Times New Roman"/>
                <w:color w:val="231F20"/>
                <w:sz w:val="24"/>
                <w:szCs w:val="24"/>
              </w:rPr>
            </w:pPr>
          </w:p>
        </w:tc>
        <w:tc>
          <w:tcPr>
            <w:tcW w:w="6633" w:type="dxa"/>
          </w:tcPr>
          <w:p w14:paraId="0735F8A4" w14:textId="77777777" w:rsidR="00692C4E" w:rsidRPr="003841C3" w:rsidRDefault="00692C4E" w:rsidP="00692C4E">
            <w:pPr>
              <w:pStyle w:val="BodyText"/>
              <w:spacing w:before="2"/>
              <w:jc w:val="both"/>
              <w:rPr>
                <w:rFonts w:ascii="Times New Roman" w:eastAsiaTheme="minorEastAsia" w:cs="Times New Roman"/>
                <w:color w:val="231F20"/>
                <w:sz w:val="24"/>
                <w:szCs w:val="24"/>
              </w:rPr>
            </w:pPr>
          </w:p>
        </w:tc>
      </w:tr>
      <w:tr w:rsidR="00692C4E" w:rsidRPr="007213EC" w14:paraId="7BA877DB" w14:textId="77777777" w:rsidTr="006E22BB">
        <w:tc>
          <w:tcPr>
            <w:tcW w:w="2955" w:type="dxa"/>
          </w:tcPr>
          <w:p w14:paraId="398263B5" w14:textId="41C8526C" w:rsidR="00692C4E" w:rsidRPr="003841C3" w:rsidRDefault="00692C4E" w:rsidP="00692C4E">
            <w:pPr>
              <w:pStyle w:val="BodyText"/>
              <w:spacing w:before="2"/>
              <w:rPr>
                <w:rFonts w:ascii="Times New Roman" w:eastAsiaTheme="minorEastAsia" w:cs="Times New Roman"/>
                <w:color w:val="231F20"/>
                <w:sz w:val="24"/>
                <w:szCs w:val="24"/>
              </w:rPr>
            </w:pPr>
            <w:r w:rsidRPr="003841C3">
              <w:rPr>
                <w:sz w:val="24"/>
                <w:szCs w:val="24"/>
              </w:rPr>
              <w:t>「獨立第三方」</w:t>
            </w:r>
          </w:p>
        </w:tc>
        <w:tc>
          <w:tcPr>
            <w:tcW w:w="476" w:type="dxa"/>
          </w:tcPr>
          <w:p w14:paraId="5A37EF78" w14:textId="032F665E" w:rsidR="00692C4E" w:rsidRPr="007213EC" w:rsidRDefault="00692C4E" w:rsidP="00692C4E">
            <w:pPr>
              <w:pStyle w:val="BodyText"/>
              <w:spacing w:before="2"/>
              <w:rPr>
                <w:rFonts w:ascii="Times New Roman" w:eastAsiaTheme="minorEastAsia" w:cs="Times New Roman"/>
                <w:color w:val="231F20"/>
                <w:sz w:val="24"/>
                <w:szCs w:val="24"/>
              </w:rPr>
            </w:pPr>
            <w:r w:rsidRPr="007213EC">
              <w:rPr>
                <w:rFonts w:ascii="Times New Roman" w:eastAsiaTheme="minorEastAsia" w:cs="Times New Roman"/>
                <w:color w:val="231F20"/>
                <w:sz w:val="24"/>
                <w:szCs w:val="24"/>
                <w:lang w:eastAsia="zh-CN"/>
              </w:rPr>
              <w:t>指</w:t>
            </w:r>
          </w:p>
        </w:tc>
        <w:tc>
          <w:tcPr>
            <w:tcW w:w="6633" w:type="dxa"/>
          </w:tcPr>
          <w:p w14:paraId="2EEAAAD5" w14:textId="415656AC" w:rsidR="00692C4E" w:rsidRPr="003841C3" w:rsidRDefault="00692C4E" w:rsidP="00692C4E">
            <w:pPr>
              <w:pStyle w:val="BodyText"/>
              <w:spacing w:before="2"/>
              <w:jc w:val="both"/>
              <w:rPr>
                <w:rFonts w:ascii="Times New Roman" w:eastAsiaTheme="minorEastAsia" w:cs="Times New Roman"/>
                <w:color w:val="231F20"/>
                <w:sz w:val="24"/>
                <w:szCs w:val="24"/>
              </w:rPr>
            </w:pPr>
            <w:r w:rsidRPr="003841C3">
              <w:rPr>
                <w:sz w:val="24"/>
                <w:szCs w:val="24"/>
              </w:rPr>
              <w:t>獨立於本公司及其關連人士的第三</w:t>
            </w:r>
            <w:r w:rsidRPr="003841C3">
              <w:rPr>
                <w:rFonts w:hAnsi="PMingLiU" w:hint="eastAsia"/>
                <w:sz w:val="24"/>
                <w:szCs w:val="24"/>
              </w:rPr>
              <w:t>方</w:t>
            </w:r>
          </w:p>
        </w:tc>
      </w:tr>
      <w:tr w:rsidR="00692C4E" w:rsidRPr="007213EC" w14:paraId="7F03C907" w14:textId="77777777" w:rsidTr="006E22BB">
        <w:tc>
          <w:tcPr>
            <w:tcW w:w="2955" w:type="dxa"/>
          </w:tcPr>
          <w:p w14:paraId="452D95C8" w14:textId="77777777" w:rsidR="00692C4E" w:rsidRPr="003841C3" w:rsidRDefault="00692C4E" w:rsidP="00692C4E">
            <w:pPr>
              <w:pStyle w:val="BodyText"/>
              <w:spacing w:before="2"/>
              <w:rPr>
                <w:rFonts w:ascii="Times New Roman" w:eastAsiaTheme="minorEastAsia" w:cs="Times New Roman"/>
                <w:sz w:val="24"/>
                <w:szCs w:val="24"/>
              </w:rPr>
            </w:pPr>
          </w:p>
        </w:tc>
        <w:tc>
          <w:tcPr>
            <w:tcW w:w="476" w:type="dxa"/>
          </w:tcPr>
          <w:p w14:paraId="00D7FCCA" w14:textId="77777777" w:rsidR="00692C4E" w:rsidRPr="007213EC" w:rsidRDefault="00692C4E" w:rsidP="00692C4E">
            <w:pPr>
              <w:pStyle w:val="BodyText"/>
              <w:spacing w:before="2"/>
              <w:rPr>
                <w:rFonts w:ascii="Times New Roman" w:eastAsiaTheme="minorEastAsia" w:cs="Times New Roman"/>
                <w:color w:val="231F20"/>
                <w:sz w:val="24"/>
                <w:szCs w:val="24"/>
              </w:rPr>
            </w:pPr>
          </w:p>
        </w:tc>
        <w:tc>
          <w:tcPr>
            <w:tcW w:w="6633" w:type="dxa"/>
          </w:tcPr>
          <w:p w14:paraId="790990C5" w14:textId="77777777" w:rsidR="00692C4E" w:rsidRPr="003841C3" w:rsidRDefault="00692C4E" w:rsidP="00692C4E">
            <w:pPr>
              <w:pStyle w:val="BodyText"/>
              <w:spacing w:before="2"/>
              <w:jc w:val="both"/>
              <w:rPr>
                <w:rFonts w:ascii="Times New Roman" w:eastAsiaTheme="minorEastAsia" w:cs="Times New Roman"/>
                <w:sz w:val="24"/>
                <w:szCs w:val="24"/>
              </w:rPr>
            </w:pPr>
          </w:p>
        </w:tc>
      </w:tr>
      <w:tr w:rsidR="00692C4E" w:rsidRPr="007213EC" w14:paraId="7DBBDE7E" w14:textId="77777777" w:rsidTr="006E22BB">
        <w:tc>
          <w:tcPr>
            <w:tcW w:w="2955" w:type="dxa"/>
          </w:tcPr>
          <w:p w14:paraId="6F9A2225" w14:textId="4884542B" w:rsidR="00692C4E" w:rsidRPr="003841C3" w:rsidRDefault="00692C4E" w:rsidP="00692C4E">
            <w:pPr>
              <w:pStyle w:val="BodyText"/>
              <w:spacing w:before="2"/>
              <w:rPr>
                <w:rFonts w:ascii="Times New Roman" w:cs="Times New Roman"/>
                <w:sz w:val="24"/>
                <w:szCs w:val="24"/>
              </w:rPr>
            </w:pPr>
            <w:r w:rsidRPr="003841C3">
              <w:rPr>
                <w:rFonts w:ascii="Times New Roman" w:eastAsiaTheme="minorEastAsia" w:cs="Times New Roman"/>
                <w:sz w:val="24"/>
                <w:szCs w:val="24"/>
                <w:lang w:eastAsia="en-US"/>
              </w:rPr>
              <w:t>「</w:t>
            </w:r>
            <w:r w:rsidRPr="003841C3">
              <w:rPr>
                <w:rFonts w:ascii="Times New Roman" w:eastAsiaTheme="minorEastAsia" w:cs="Times New Roman" w:hint="eastAsia"/>
                <w:sz w:val="24"/>
                <w:szCs w:val="24"/>
              </w:rPr>
              <w:t>甘</w:t>
            </w:r>
            <w:r w:rsidRPr="003841C3">
              <w:rPr>
                <w:rFonts w:ascii="Times New Roman" w:eastAsiaTheme="minorEastAsia" w:cs="Times New Roman"/>
                <w:sz w:val="24"/>
                <w:szCs w:val="24"/>
              </w:rPr>
              <w:t>先</w:t>
            </w:r>
            <w:r w:rsidRPr="003841C3">
              <w:rPr>
                <w:rFonts w:ascii="Times New Roman" w:eastAsiaTheme="minorEastAsia" w:cs="Times New Roman" w:hint="eastAsia"/>
                <w:sz w:val="24"/>
                <w:szCs w:val="24"/>
              </w:rPr>
              <w:t>生</w:t>
            </w:r>
            <w:r w:rsidRPr="003841C3">
              <w:rPr>
                <w:rFonts w:ascii="Times New Roman" w:eastAsiaTheme="minorEastAsia" w:cs="Times New Roman"/>
                <w:sz w:val="24"/>
                <w:szCs w:val="24"/>
                <w:lang w:eastAsia="en-US"/>
              </w:rPr>
              <w:t>」</w:t>
            </w:r>
          </w:p>
        </w:tc>
        <w:tc>
          <w:tcPr>
            <w:tcW w:w="476" w:type="dxa"/>
          </w:tcPr>
          <w:p w14:paraId="071CDAA2" w14:textId="57CC9060" w:rsidR="00692C4E" w:rsidRPr="007213EC" w:rsidRDefault="00692C4E" w:rsidP="00692C4E">
            <w:pPr>
              <w:pStyle w:val="BodyText"/>
              <w:spacing w:before="2"/>
              <w:rPr>
                <w:rFonts w:ascii="Times New Roman" w:eastAsiaTheme="minorEastAsia" w:cs="Times New Roman"/>
                <w:color w:val="231F20"/>
                <w:sz w:val="24"/>
                <w:szCs w:val="24"/>
              </w:rPr>
            </w:pPr>
            <w:r w:rsidRPr="007213EC">
              <w:rPr>
                <w:rFonts w:ascii="Times New Roman" w:eastAsiaTheme="minorEastAsia" w:cs="Times New Roman"/>
                <w:color w:val="231F20"/>
                <w:sz w:val="24"/>
                <w:szCs w:val="24"/>
                <w:lang w:eastAsia="zh-CN"/>
              </w:rPr>
              <w:t>指</w:t>
            </w:r>
          </w:p>
        </w:tc>
        <w:tc>
          <w:tcPr>
            <w:tcW w:w="6633" w:type="dxa"/>
          </w:tcPr>
          <w:p w14:paraId="78FC2F9F" w14:textId="2F341A7B" w:rsidR="00692C4E" w:rsidRPr="003841C3" w:rsidRDefault="00692C4E" w:rsidP="00692C4E">
            <w:pPr>
              <w:pStyle w:val="BodyText"/>
              <w:spacing w:before="2"/>
              <w:jc w:val="both"/>
              <w:rPr>
                <w:rFonts w:ascii="Times New Roman" w:cs="Times New Roman"/>
                <w:sz w:val="24"/>
                <w:szCs w:val="24"/>
              </w:rPr>
            </w:pPr>
            <w:r w:rsidRPr="003841C3">
              <w:rPr>
                <w:rFonts w:ascii="Times New Roman" w:eastAsiaTheme="minorEastAsia" w:cs="Times New Roman" w:hint="eastAsia"/>
                <w:sz w:val="24"/>
                <w:szCs w:val="24"/>
              </w:rPr>
              <w:t>甘仿</w:t>
            </w:r>
            <w:r w:rsidR="00C855C3" w:rsidRPr="00C855C3">
              <w:rPr>
                <w:rFonts w:ascii="Times New Roman" w:eastAsiaTheme="minorEastAsia" w:cs="Times New Roman" w:hint="eastAsia"/>
                <w:sz w:val="24"/>
                <w:szCs w:val="24"/>
              </w:rPr>
              <w:t>倫</w:t>
            </w:r>
            <w:r w:rsidRPr="003841C3">
              <w:rPr>
                <w:rFonts w:ascii="Times New Roman" w:eastAsiaTheme="minorEastAsia" w:cs="Times New Roman"/>
                <w:sz w:val="24"/>
                <w:szCs w:val="24"/>
              </w:rPr>
              <w:t>先</w:t>
            </w:r>
            <w:r w:rsidRPr="003841C3">
              <w:rPr>
                <w:rFonts w:ascii="Times New Roman" w:eastAsiaTheme="minorEastAsia" w:cs="Times New Roman" w:hint="eastAsia"/>
                <w:sz w:val="24"/>
                <w:szCs w:val="24"/>
              </w:rPr>
              <w:t>生</w:t>
            </w:r>
          </w:p>
        </w:tc>
      </w:tr>
      <w:tr w:rsidR="00692C4E" w:rsidRPr="007213EC" w14:paraId="4CB11B09" w14:textId="77777777" w:rsidTr="006E22BB">
        <w:tc>
          <w:tcPr>
            <w:tcW w:w="2955" w:type="dxa"/>
          </w:tcPr>
          <w:p w14:paraId="3793EE0F" w14:textId="77777777" w:rsidR="00692C4E" w:rsidRPr="003841C3" w:rsidRDefault="00692C4E" w:rsidP="00692C4E">
            <w:pPr>
              <w:pStyle w:val="BodyText"/>
              <w:spacing w:before="2"/>
              <w:rPr>
                <w:rFonts w:ascii="Times New Roman" w:cs="Times New Roman"/>
                <w:sz w:val="24"/>
                <w:szCs w:val="24"/>
              </w:rPr>
            </w:pPr>
          </w:p>
        </w:tc>
        <w:tc>
          <w:tcPr>
            <w:tcW w:w="476" w:type="dxa"/>
          </w:tcPr>
          <w:p w14:paraId="41208D31" w14:textId="77777777" w:rsidR="00692C4E" w:rsidRPr="007213EC" w:rsidRDefault="00692C4E" w:rsidP="00692C4E">
            <w:pPr>
              <w:pStyle w:val="BodyText"/>
              <w:spacing w:before="2"/>
              <w:rPr>
                <w:rFonts w:ascii="Times New Roman" w:eastAsiaTheme="minorEastAsia" w:cs="Times New Roman"/>
                <w:color w:val="231F20"/>
                <w:sz w:val="24"/>
                <w:szCs w:val="24"/>
              </w:rPr>
            </w:pPr>
          </w:p>
        </w:tc>
        <w:tc>
          <w:tcPr>
            <w:tcW w:w="6633" w:type="dxa"/>
          </w:tcPr>
          <w:p w14:paraId="18D55F2E" w14:textId="77777777" w:rsidR="00692C4E" w:rsidRPr="003841C3" w:rsidRDefault="00692C4E" w:rsidP="00692C4E">
            <w:pPr>
              <w:pStyle w:val="BodyText"/>
              <w:spacing w:before="2"/>
              <w:jc w:val="both"/>
              <w:rPr>
                <w:rFonts w:ascii="Times New Roman" w:cs="Times New Roman"/>
                <w:sz w:val="24"/>
                <w:szCs w:val="24"/>
              </w:rPr>
            </w:pPr>
          </w:p>
        </w:tc>
      </w:tr>
      <w:tr w:rsidR="00692C4E" w:rsidRPr="007213EC" w14:paraId="5C7AC125" w14:textId="77777777" w:rsidTr="006E22BB">
        <w:tc>
          <w:tcPr>
            <w:tcW w:w="2955" w:type="dxa"/>
          </w:tcPr>
          <w:p w14:paraId="00546833" w14:textId="557E8A1D" w:rsidR="00692C4E" w:rsidRPr="003841C3" w:rsidRDefault="00692C4E" w:rsidP="00692C4E">
            <w:pPr>
              <w:pStyle w:val="BodyText"/>
              <w:spacing w:before="2"/>
              <w:rPr>
                <w:rFonts w:ascii="Times New Roman" w:cs="Times New Roman"/>
                <w:sz w:val="24"/>
                <w:szCs w:val="24"/>
              </w:rPr>
            </w:pPr>
            <w:r w:rsidRPr="003841C3">
              <w:rPr>
                <w:rFonts w:ascii="Times New Roman" w:eastAsiaTheme="minorEastAsia" w:cs="Times New Roman"/>
                <w:sz w:val="24"/>
                <w:szCs w:val="24"/>
                <w:lang w:eastAsia="en-US"/>
              </w:rPr>
              <w:t>「</w:t>
            </w:r>
            <w:r w:rsidRPr="003841C3">
              <w:rPr>
                <w:rFonts w:ascii="Times New Roman" w:eastAsiaTheme="minorEastAsia" w:cs="Times New Roman" w:hint="eastAsia"/>
                <w:sz w:val="24"/>
                <w:szCs w:val="24"/>
              </w:rPr>
              <w:t>中國</w:t>
            </w:r>
            <w:r w:rsidRPr="003841C3">
              <w:rPr>
                <w:rFonts w:ascii="Times New Roman" w:eastAsiaTheme="minorEastAsia" w:cs="Times New Roman"/>
                <w:sz w:val="24"/>
                <w:szCs w:val="24"/>
                <w:lang w:eastAsia="en-US"/>
              </w:rPr>
              <w:t>」</w:t>
            </w:r>
          </w:p>
        </w:tc>
        <w:tc>
          <w:tcPr>
            <w:tcW w:w="476" w:type="dxa"/>
          </w:tcPr>
          <w:p w14:paraId="412E2DA4" w14:textId="5A27B6CE" w:rsidR="00692C4E" w:rsidRPr="007213EC" w:rsidRDefault="00692C4E" w:rsidP="00692C4E">
            <w:pPr>
              <w:pStyle w:val="BodyText"/>
              <w:spacing w:before="2"/>
              <w:rPr>
                <w:rFonts w:ascii="Times New Roman" w:eastAsiaTheme="minorEastAsia" w:cs="Times New Roman"/>
                <w:color w:val="231F20"/>
                <w:sz w:val="24"/>
                <w:szCs w:val="24"/>
              </w:rPr>
            </w:pPr>
            <w:r w:rsidRPr="007213EC">
              <w:rPr>
                <w:rFonts w:ascii="Times New Roman" w:eastAsiaTheme="minorEastAsia" w:cs="Times New Roman"/>
                <w:color w:val="231F20"/>
                <w:sz w:val="24"/>
                <w:szCs w:val="24"/>
                <w:lang w:eastAsia="zh-CN"/>
              </w:rPr>
              <w:t>指</w:t>
            </w:r>
          </w:p>
        </w:tc>
        <w:tc>
          <w:tcPr>
            <w:tcW w:w="6633" w:type="dxa"/>
          </w:tcPr>
          <w:p w14:paraId="2399C080" w14:textId="3B4E8A1E" w:rsidR="00692C4E" w:rsidRPr="003841C3" w:rsidRDefault="00692C4E" w:rsidP="00692C4E">
            <w:pPr>
              <w:pStyle w:val="BodyText"/>
              <w:spacing w:before="2"/>
              <w:jc w:val="both"/>
              <w:rPr>
                <w:rFonts w:ascii="Times New Roman" w:cs="Times New Roman"/>
                <w:sz w:val="24"/>
                <w:szCs w:val="24"/>
              </w:rPr>
            </w:pPr>
            <w:r w:rsidRPr="003841C3">
              <w:rPr>
                <w:rFonts w:ascii="Times New Roman" w:eastAsiaTheme="minorEastAsia" w:cs="Times New Roman"/>
                <w:sz w:val="24"/>
                <w:szCs w:val="24"/>
              </w:rPr>
              <w:t>中華人民共和</w:t>
            </w:r>
            <w:r w:rsidRPr="003841C3">
              <w:rPr>
                <w:rFonts w:ascii="Times New Roman" w:eastAsiaTheme="minorEastAsia" w:cs="Times New Roman" w:hint="eastAsia"/>
                <w:sz w:val="24"/>
                <w:szCs w:val="24"/>
              </w:rPr>
              <w:t>國</w:t>
            </w:r>
          </w:p>
        </w:tc>
      </w:tr>
      <w:tr w:rsidR="00692C4E" w:rsidRPr="007213EC" w14:paraId="1D5F4B03" w14:textId="77777777" w:rsidTr="006E22BB">
        <w:tc>
          <w:tcPr>
            <w:tcW w:w="2955" w:type="dxa"/>
          </w:tcPr>
          <w:p w14:paraId="7C977B24" w14:textId="77777777" w:rsidR="00692C4E" w:rsidRPr="003841C3" w:rsidRDefault="00692C4E" w:rsidP="00692C4E">
            <w:pPr>
              <w:pStyle w:val="BodyText"/>
              <w:spacing w:before="2"/>
              <w:rPr>
                <w:rFonts w:ascii="Times New Roman" w:eastAsiaTheme="minorEastAsia" w:cs="Times New Roman"/>
                <w:color w:val="231F20"/>
                <w:sz w:val="24"/>
                <w:szCs w:val="24"/>
              </w:rPr>
            </w:pPr>
          </w:p>
        </w:tc>
        <w:tc>
          <w:tcPr>
            <w:tcW w:w="476" w:type="dxa"/>
          </w:tcPr>
          <w:p w14:paraId="5A5C1C99" w14:textId="77777777" w:rsidR="00692C4E" w:rsidRPr="007213EC" w:rsidRDefault="00692C4E" w:rsidP="00692C4E">
            <w:pPr>
              <w:pStyle w:val="BodyText"/>
              <w:spacing w:before="2"/>
              <w:rPr>
                <w:rFonts w:ascii="Times New Roman" w:eastAsiaTheme="minorEastAsia" w:cs="Times New Roman"/>
                <w:color w:val="231F20"/>
                <w:sz w:val="24"/>
                <w:szCs w:val="24"/>
              </w:rPr>
            </w:pPr>
          </w:p>
        </w:tc>
        <w:tc>
          <w:tcPr>
            <w:tcW w:w="6633" w:type="dxa"/>
          </w:tcPr>
          <w:p w14:paraId="1AC1F1A0" w14:textId="77777777" w:rsidR="00692C4E" w:rsidRPr="003841C3" w:rsidRDefault="00692C4E" w:rsidP="00692C4E">
            <w:pPr>
              <w:pStyle w:val="BodyText"/>
              <w:spacing w:before="2"/>
              <w:jc w:val="both"/>
              <w:rPr>
                <w:rFonts w:ascii="Times New Roman" w:eastAsiaTheme="minorEastAsia" w:cs="Times New Roman"/>
                <w:color w:val="231F20"/>
                <w:sz w:val="24"/>
                <w:szCs w:val="24"/>
              </w:rPr>
            </w:pPr>
          </w:p>
        </w:tc>
      </w:tr>
      <w:tr w:rsidR="00692C4E" w:rsidRPr="007213EC" w14:paraId="75BA7CF8" w14:textId="77777777" w:rsidTr="006E22BB">
        <w:tc>
          <w:tcPr>
            <w:tcW w:w="2955" w:type="dxa"/>
          </w:tcPr>
          <w:p w14:paraId="4F0A558B" w14:textId="656C58E3" w:rsidR="00692C4E" w:rsidRPr="003841C3" w:rsidRDefault="00692C4E" w:rsidP="00692C4E">
            <w:pPr>
              <w:pStyle w:val="BodyText"/>
              <w:spacing w:before="2"/>
              <w:rPr>
                <w:rFonts w:ascii="Times New Roman" w:eastAsiaTheme="minorEastAsia" w:cs="Times New Roman"/>
                <w:color w:val="231F20"/>
                <w:sz w:val="24"/>
                <w:szCs w:val="24"/>
              </w:rPr>
            </w:pPr>
            <w:r w:rsidRPr="003841C3">
              <w:rPr>
                <w:sz w:val="24"/>
                <w:szCs w:val="24"/>
              </w:rPr>
              <w:t>「股份」</w:t>
            </w:r>
          </w:p>
        </w:tc>
        <w:tc>
          <w:tcPr>
            <w:tcW w:w="476" w:type="dxa"/>
          </w:tcPr>
          <w:p w14:paraId="5A808B83" w14:textId="2B634D5A" w:rsidR="00692C4E" w:rsidRPr="007213EC" w:rsidRDefault="00692C4E" w:rsidP="00692C4E">
            <w:pPr>
              <w:pStyle w:val="BodyText"/>
              <w:spacing w:before="2"/>
              <w:rPr>
                <w:rFonts w:ascii="Times New Roman" w:eastAsiaTheme="minorEastAsia" w:cs="Times New Roman"/>
                <w:color w:val="231F20"/>
                <w:sz w:val="24"/>
                <w:szCs w:val="24"/>
              </w:rPr>
            </w:pPr>
            <w:r w:rsidRPr="007213EC">
              <w:rPr>
                <w:rFonts w:ascii="Times New Roman" w:eastAsiaTheme="minorEastAsia" w:cs="Times New Roman"/>
                <w:color w:val="231F20"/>
                <w:sz w:val="24"/>
                <w:szCs w:val="24"/>
                <w:lang w:eastAsia="zh-CN"/>
              </w:rPr>
              <w:t>指</w:t>
            </w:r>
          </w:p>
        </w:tc>
        <w:tc>
          <w:tcPr>
            <w:tcW w:w="6633" w:type="dxa"/>
          </w:tcPr>
          <w:p w14:paraId="10750E83" w14:textId="1F0B2A66" w:rsidR="00692C4E" w:rsidRPr="003841C3" w:rsidRDefault="00692C4E" w:rsidP="00692C4E">
            <w:pPr>
              <w:pStyle w:val="BodyText"/>
              <w:spacing w:before="2"/>
              <w:jc w:val="both"/>
              <w:rPr>
                <w:rFonts w:ascii="Times New Roman" w:eastAsiaTheme="minorEastAsia" w:cs="Times New Roman"/>
                <w:color w:val="231F20"/>
                <w:sz w:val="24"/>
                <w:szCs w:val="24"/>
              </w:rPr>
            </w:pPr>
            <w:r w:rsidRPr="003841C3">
              <w:rPr>
                <w:sz w:val="24"/>
                <w:szCs w:val="24"/>
              </w:rPr>
              <w:t>本公司股本中每股面值 0.25 港元之普通</w:t>
            </w:r>
            <w:r w:rsidRPr="003841C3">
              <w:rPr>
                <w:rFonts w:hAnsi="PMingLiU" w:hint="eastAsia"/>
                <w:sz w:val="24"/>
                <w:szCs w:val="24"/>
              </w:rPr>
              <w:t>股</w:t>
            </w:r>
          </w:p>
        </w:tc>
      </w:tr>
      <w:tr w:rsidR="00692C4E" w:rsidRPr="007213EC" w14:paraId="42DF64B5" w14:textId="77777777" w:rsidTr="006E22BB">
        <w:tc>
          <w:tcPr>
            <w:tcW w:w="2955" w:type="dxa"/>
          </w:tcPr>
          <w:p w14:paraId="35785AA1" w14:textId="77777777" w:rsidR="00692C4E" w:rsidRPr="003841C3" w:rsidRDefault="00692C4E" w:rsidP="00692C4E">
            <w:pPr>
              <w:pStyle w:val="BodyText"/>
              <w:spacing w:before="2"/>
              <w:rPr>
                <w:rFonts w:ascii="Times New Roman" w:eastAsiaTheme="minorEastAsia" w:cs="Times New Roman"/>
                <w:color w:val="231F20"/>
                <w:sz w:val="24"/>
                <w:szCs w:val="24"/>
              </w:rPr>
            </w:pPr>
          </w:p>
        </w:tc>
        <w:tc>
          <w:tcPr>
            <w:tcW w:w="476" w:type="dxa"/>
          </w:tcPr>
          <w:p w14:paraId="65399938" w14:textId="77777777" w:rsidR="00692C4E" w:rsidRPr="007213EC" w:rsidRDefault="00692C4E" w:rsidP="00692C4E">
            <w:pPr>
              <w:pStyle w:val="BodyText"/>
              <w:spacing w:before="2"/>
              <w:rPr>
                <w:rFonts w:ascii="Times New Roman" w:eastAsiaTheme="minorEastAsia" w:cs="Times New Roman"/>
                <w:color w:val="231F20"/>
                <w:sz w:val="24"/>
                <w:szCs w:val="24"/>
              </w:rPr>
            </w:pPr>
          </w:p>
        </w:tc>
        <w:tc>
          <w:tcPr>
            <w:tcW w:w="6633" w:type="dxa"/>
          </w:tcPr>
          <w:p w14:paraId="6DB7E52A" w14:textId="77777777" w:rsidR="00692C4E" w:rsidRPr="003841C3" w:rsidRDefault="00692C4E" w:rsidP="00692C4E">
            <w:pPr>
              <w:pStyle w:val="BodyText"/>
              <w:spacing w:before="2"/>
              <w:jc w:val="both"/>
              <w:rPr>
                <w:rFonts w:ascii="Times New Roman" w:eastAsiaTheme="minorEastAsia" w:cs="Times New Roman"/>
                <w:color w:val="231F20"/>
                <w:sz w:val="24"/>
                <w:szCs w:val="24"/>
              </w:rPr>
            </w:pPr>
          </w:p>
        </w:tc>
      </w:tr>
      <w:tr w:rsidR="00692C4E" w:rsidRPr="007213EC" w14:paraId="158B9EC1" w14:textId="77777777" w:rsidTr="006E22BB">
        <w:tc>
          <w:tcPr>
            <w:tcW w:w="2955" w:type="dxa"/>
          </w:tcPr>
          <w:p w14:paraId="740EEECD" w14:textId="5F6693B0" w:rsidR="00692C4E" w:rsidRPr="003841C3" w:rsidRDefault="00692C4E" w:rsidP="00692C4E">
            <w:pPr>
              <w:pStyle w:val="BodyText"/>
              <w:spacing w:before="2"/>
              <w:rPr>
                <w:rFonts w:ascii="Times New Roman" w:eastAsiaTheme="minorEastAsia" w:cs="Times New Roman"/>
                <w:color w:val="231F20"/>
                <w:sz w:val="24"/>
                <w:szCs w:val="24"/>
              </w:rPr>
            </w:pPr>
            <w:r w:rsidRPr="003841C3">
              <w:rPr>
                <w:rFonts w:ascii="Times New Roman" w:eastAsiaTheme="minorEastAsia" w:cs="Times New Roman"/>
                <w:sz w:val="24"/>
                <w:szCs w:val="24"/>
                <w:lang w:eastAsia="en-US"/>
              </w:rPr>
              <w:t>「股</w:t>
            </w:r>
            <w:r w:rsidRPr="003841C3">
              <w:rPr>
                <w:rFonts w:ascii="Times New Roman" w:eastAsiaTheme="minorEastAsia" w:cs="Times New Roman"/>
                <w:sz w:val="24"/>
                <w:szCs w:val="24"/>
                <w:lang w:eastAsia="zh-CN"/>
              </w:rPr>
              <w:t>東</w:t>
            </w:r>
            <w:r w:rsidRPr="003841C3">
              <w:rPr>
                <w:rFonts w:ascii="Times New Roman" w:eastAsiaTheme="minorEastAsia" w:cs="Times New Roman"/>
                <w:sz w:val="24"/>
                <w:szCs w:val="24"/>
                <w:lang w:eastAsia="en-US"/>
              </w:rPr>
              <w:t>」</w:t>
            </w:r>
          </w:p>
        </w:tc>
        <w:tc>
          <w:tcPr>
            <w:tcW w:w="476" w:type="dxa"/>
          </w:tcPr>
          <w:p w14:paraId="7BEC259B" w14:textId="7D3CAA24" w:rsidR="00692C4E" w:rsidRPr="007213EC" w:rsidRDefault="00692C4E" w:rsidP="00692C4E">
            <w:pPr>
              <w:pStyle w:val="BodyText"/>
              <w:spacing w:before="2"/>
              <w:rPr>
                <w:rFonts w:ascii="Times New Roman" w:eastAsiaTheme="minorEastAsia" w:cs="Times New Roman"/>
                <w:color w:val="231F20"/>
                <w:sz w:val="24"/>
                <w:szCs w:val="24"/>
              </w:rPr>
            </w:pPr>
            <w:r w:rsidRPr="007213EC">
              <w:rPr>
                <w:rFonts w:ascii="Times New Roman" w:eastAsiaTheme="minorEastAsia" w:cs="Times New Roman"/>
                <w:color w:val="231F20"/>
                <w:sz w:val="24"/>
                <w:szCs w:val="24"/>
                <w:lang w:eastAsia="zh-CN"/>
              </w:rPr>
              <w:t>指</w:t>
            </w:r>
          </w:p>
        </w:tc>
        <w:tc>
          <w:tcPr>
            <w:tcW w:w="6633" w:type="dxa"/>
          </w:tcPr>
          <w:p w14:paraId="2D6BA452" w14:textId="1B5813CD" w:rsidR="00692C4E" w:rsidRPr="003841C3" w:rsidRDefault="00692C4E" w:rsidP="00692C4E">
            <w:pPr>
              <w:pStyle w:val="BodyText"/>
              <w:spacing w:before="2"/>
              <w:jc w:val="both"/>
              <w:rPr>
                <w:rFonts w:ascii="Times New Roman" w:eastAsiaTheme="minorEastAsia" w:cs="Times New Roman"/>
                <w:color w:val="231F20"/>
                <w:sz w:val="24"/>
                <w:szCs w:val="24"/>
              </w:rPr>
            </w:pPr>
            <w:r w:rsidRPr="003841C3">
              <w:rPr>
                <w:rFonts w:ascii="Times New Roman" w:eastAsiaTheme="minorEastAsia" w:cs="Times New Roman"/>
                <w:sz w:val="24"/>
                <w:szCs w:val="24"/>
                <w:lang w:eastAsia="en-US"/>
              </w:rPr>
              <w:t>股份持有人</w:t>
            </w:r>
          </w:p>
        </w:tc>
      </w:tr>
      <w:tr w:rsidR="00692C4E" w:rsidRPr="007213EC" w14:paraId="2ED29A51" w14:textId="77777777" w:rsidTr="006E22BB">
        <w:tc>
          <w:tcPr>
            <w:tcW w:w="2955" w:type="dxa"/>
          </w:tcPr>
          <w:p w14:paraId="416C5302" w14:textId="77777777" w:rsidR="00692C4E" w:rsidRPr="003841C3" w:rsidRDefault="00692C4E" w:rsidP="00692C4E">
            <w:pPr>
              <w:pStyle w:val="BodyText"/>
              <w:spacing w:before="2"/>
              <w:rPr>
                <w:rFonts w:ascii="Times New Roman" w:eastAsiaTheme="minorEastAsia" w:cs="Times New Roman"/>
                <w:color w:val="231F20"/>
                <w:sz w:val="24"/>
                <w:szCs w:val="24"/>
              </w:rPr>
            </w:pPr>
          </w:p>
        </w:tc>
        <w:tc>
          <w:tcPr>
            <w:tcW w:w="476" w:type="dxa"/>
          </w:tcPr>
          <w:p w14:paraId="73B94F36" w14:textId="77777777" w:rsidR="00692C4E" w:rsidRPr="007213EC" w:rsidRDefault="00692C4E" w:rsidP="00692C4E">
            <w:pPr>
              <w:pStyle w:val="BodyText"/>
              <w:spacing w:before="2"/>
              <w:rPr>
                <w:rFonts w:ascii="Times New Roman" w:eastAsiaTheme="minorEastAsia" w:cs="Times New Roman"/>
                <w:color w:val="231F20"/>
                <w:sz w:val="24"/>
                <w:szCs w:val="24"/>
              </w:rPr>
            </w:pPr>
          </w:p>
        </w:tc>
        <w:tc>
          <w:tcPr>
            <w:tcW w:w="6633" w:type="dxa"/>
          </w:tcPr>
          <w:p w14:paraId="2720C281" w14:textId="77777777" w:rsidR="00692C4E" w:rsidRPr="003841C3" w:rsidRDefault="00692C4E" w:rsidP="00692C4E">
            <w:pPr>
              <w:pStyle w:val="BodyText"/>
              <w:spacing w:before="2"/>
              <w:jc w:val="both"/>
              <w:rPr>
                <w:rFonts w:ascii="Times New Roman" w:eastAsiaTheme="minorEastAsia" w:cs="Times New Roman"/>
                <w:color w:val="231F20"/>
                <w:sz w:val="24"/>
                <w:szCs w:val="24"/>
              </w:rPr>
            </w:pPr>
          </w:p>
        </w:tc>
      </w:tr>
      <w:tr w:rsidR="00692C4E" w:rsidRPr="007213EC" w14:paraId="3D02BEB8" w14:textId="77777777" w:rsidTr="006E22BB">
        <w:tc>
          <w:tcPr>
            <w:tcW w:w="2955" w:type="dxa"/>
          </w:tcPr>
          <w:p w14:paraId="6B4657FA" w14:textId="096428FA" w:rsidR="00692C4E" w:rsidRPr="003841C3" w:rsidRDefault="00692C4E" w:rsidP="00692C4E">
            <w:pPr>
              <w:pStyle w:val="BodyText"/>
              <w:spacing w:before="2"/>
              <w:rPr>
                <w:rFonts w:ascii="Times New Roman" w:eastAsiaTheme="minorEastAsia" w:cs="Times New Roman"/>
                <w:color w:val="231F20"/>
                <w:sz w:val="24"/>
                <w:szCs w:val="24"/>
              </w:rPr>
            </w:pPr>
            <w:r w:rsidRPr="003841C3">
              <w:rPr>
                <w:rFonts w:ascii="Times New Roman" w:eastAsiaTheme="minorEastAsia" w:cs="Times New Roman"/>
                <w:sz w:val="24"/>
                <w:szCs w:val="24"/>
                <w:lang w:eastAsia="en-US"/>
              </w:rPr>
              <w:t>「聯交所」</w:t>
            </w:r>
          </w:p>
        </w:tc>
        <w:tc>
          <w:tcPr>
            <w:tcW w:w="476" w:type="dxa"/>
          </w:tcPr>
          <w:p w14:paraId="04AA04EA" w14:textId="6284C1E1" w:rsidR="00692C4E" w:rsidRPr="007213EC" w:rsidRDefault="00692C4E" w:rsidP="00692C4E">
            <w:pPr>
              <w:pStyle w:val="BodyText"/>
              <w:spacing w:before="2"/>
              <w:rPr>
                <w:rFonts w:ascii="Times New Roman" w:eastAsiaTheme="minorEastAsia" w:cs="Times New Roman"/>
                <w:color w:val="231F20"/>
                <w:sz w:val="24"/>
                <w:szCs w:val="24"/>
              </w:rPr>
            </w:pPr>
            <w:r w:rsidRPr="007213EC">
              <w:rPr>
                <w:rFonts w:ascii="Times New Roman" w:eastAsiaTheme="minorEastAsia" w:cs="Times New Roman"/>
                <w:color w:val="231F20"/>
                <w:sz w:val="24"/>
                <w:szCs w:val="24"/>
                <w:lang w:eastAsia="zh-CN"/>
              </w:rPr>
              <w:t>指</w:t>
            </w:r>
          </w:p>
        </w:tc>
        <w:tc>
          <w:tcPr>
            <w:tcW w:w="6633" w:type="dxa"/>
          </w:tcPr>
          <w:p w14:paraId="098B387D" w14:textId="1A0EC462" w:rsidR="00692C4E" w:rsidRPr="003841C3" w:rsidRDefault="00692C4E" w:rsidP="00692C4E">
            <w:pPr>
              <w:pStyle w:val="BodyText"/>
              <w:spacing w:before="2"/>
              <w:jc w:val="both"/>
              <w:rPr>
                <w:rFonts w:ascii="Times New Roman" w:eastAsiaTheme="minorEastAsia" w:cs="Times New Roman"/>
                <w:color w:val="231F20"/>
                <w:sz w:val="24"/>
                <w:szCs w:val="24"/>
              </w:rPr>
            </w:pPr>
            <w:r w:rsidRPr="003841C3">
              <w:rPr>
                <w:rFonts w:ascii="Times New Roman" w:eastAsiaTheme="minorEastAsia" w:cs="Times New Roman"/>
                <w:sz w:val="24"/>
                <w:szCs w:val="24"/>
              </w:rPr>
              <w:t>香港聯合交易所有限公司</w:t>
            </w:r>
          </w:p>
        </w:tc>
      </w:tr>
      <w:tr w:rsidR="000B1566" w:rsidRPr="007213EC" w14:paraId="557CFB41" w14:textId="77777777" w:rsidTr="006E22BB">
        <w:tc>
          <w:tcPr>
            <w:tcW w:w="2955" w:type="dxa"/>
          </w:tcPr>
          <w:p w14:paraId="6DDF14AB" w14:textId="77777777" w:rsidR="000B1566" w:rsidRPr="003841C3" w:rsidRDefault="000B1566" w:rsidP="00692C4E">
            <w:pPr>
              <w:pStyle w:val="BodyText"/>
              <w:spacing w:before="2"/>
              <w:rPr>
                <w:rFonts w:ascii="Times New Roman" w:eastAsiaTheme="minorEastAsia" w:cs="Times New Roman"/>
                <w:sz w:val="24"/>
                <w:szCs w:val="24"/>
              </w:rPr>
            </w:pPr>
          </w:p>
        </w:tc>
        <w:tc>
          <w:tcPr>
            <w:tcW w:w="476" w:type="dxa"/>
          </w:tcPr>
          <w:p w14:paraId="2228DFFB" w14:textId="77777777" w:rsidR="000B1566" w:rsidRPr="007213EC" w:rsidRDefault="000B1566" w:rsidP="00692C4E">
            <w:pPr>
              <w:pStyle w:val="BodyText"/>
              <w:spacing w:before="2"/>
              <w:rPr>
                <w:rFonts w:ascii="Times New Roman" w:eastAsiaTheme="minorEastAsia" w:cs="Times New Roman"/>
                <w:color w:val="231F20"/>
                <w:sz w:val="24"/>
                <w:szCs w:val="24"/>
              </w:rPr>
            </w:pPr>
          </w:p>
        </w:tc>
        <w:tc>
          <w:tcPr>
            <w:tcW w:w="6633" w:type="dxa"/>
          </w:tcPr>
          <w:p w14:paraId="15255D67" w14:textId="77777777" w:rsidR="000B1566" w:rsidRPr="003841C3" w:rsidRDefault="000B1566" w:rsidP="00692C4E">
            <w:pPr>
              <w:pStyle w:val="BodyText"/>
              <w:spacing w:before="2"/>
              <w:jc w:val="both"/>
              <w:rPr>
                <w:rFonts w:ascii="Times New Roman" w:eastAsiaTheme="minorEastAsia" w:cs="Times New Roman"/>
                <w:sz w:val="24"/>
                <w:szCs w:val="24"/>
              </w:rPr>
            </w:pPr>
          </w:p>
        </w:tc>
      </w:tr>
      <w:tr w:rsidR="000B1566" w:rsidRPr="007213EC" w14:paraId="5EDF004C" w14:textId="77777777" w:rsidTr="006E22BB">
        <w:tc>
          <w:tcPr>
            <w:tcW w:w="2955" w:type="dxa"/>
          </w:tcPr>
          <w:p w14:paraId="213DF8AC" w14:textId="3EC911B0" w:rsidR="000B1566" w:rsidRPr="003841C3" w:rsidRDefault="000B1566" w:rsidP="00692C4E">
            <w:pPr>
              <w:pStyle w:val="BodyText"/>
              <w:spacing w:before="2"/>
              <w:rPr>
                <w:rFonts w:ascii="Times New Roman" w:eastAsiaTheme="minorEastAsia" w:cs="Times New Roman"/>
                <w:sz w:val="24"/>
                <w:szCs w:val="24"/>
                <w:lang w:eastAsia="en-US"/>
              </w:rPr>
            </w:pPr>
            <w:r w:rsidRPr="003841C3">
              <w:rPr>
                <w:sz w:val="24"/>
                <w:szCs w:val="24"/>
              </w:rPr>
              <w:t>「</w:t>
            </w:r>
            <w:r w:rsidR="00AE35A5" w:rsidRPr="003841C3">
              <w:rPr>
                <w:sz w:val="24"/>
                <w:szCs w:val="24"/>
              </w:rPr>
              <w:t>認購事</w:t>
            </w:r>
            <w:r w:rsidR="00AE35A5" w:rsidRPr="003841C3">
              <w:rPr>
                <w:rFonts w:hAnsi="PMingLiU" w:hint="eastAsia"/>
                <w:sz w:val="24"/>
                <w:szCs w:val="24"/>
              </w:rPr>
              <w:t>項</w:t>
            </w:r>
            <w:r w:rsidR="00AE35A5" w:rsidRPr="003841C3">
              <w:rPr>
                <w:sz w:val="24"/>
                <w:szCs w:val="24"/>
              </w:rPr>
              <w:t>」</w:t>
            </w:r>
          </w:p>
        </w:tc>
        <w:tc>
          <w:tcPr>
            <w:tcW w:w="476" w:type="dxa"/>
          </w:tcPr>
          <w:p w14:paraId="6179A703" w14:textId="6F8BBFA3" w:rsidR="000B1566" w:rsidRPr="007213EC" w:rsidRDefault="00615CB3" w:rsidP="00692C4E">
            <w:pPr>
              <w:pStyle w:val="BodyText"/>
              <w:spacing w:before="2"/>
              <w:rPr>
                <w:rFonts w:ascii="Times New Roman" w:eastAsiaTheme="minorEastAsia" w:cs="Times New Roman"/>
                <w:color w:val="231F20"/>
                <w:sz w:val="24"/>
                <w:szCs w:val="24"/>
                <w:lang w:eastAsia="zh-CN"/>
              </w:rPr>
            </w:pPr>
            <w:r w:rsidRPr="007213EC">
              <w:rPr>
                <w:rFonts w:ascii="Times New Roman" w:eastAsiaTheme="minorEastAsia" w:cs="Times New Roman"/>
                <w:color w:val="231F20"/>
                <w:sz w:val="24"/>
                <w:szCs w:val="24"/>
                <w:lang w:eastAsia="zh-CN"/>
              </w:rPr>
              <w:t>指</w:t>
            </w:r>
          </w:p>
        </w:tc>
        <w:tc>
          <w:tcPr>
            <w:tcW w:w="6633" w:type="dxa"/>
          </w:tcPr>
          <w:p w14:paraId="130917B4" w14:textId="47665309" w:rsidR="000B1566" w:rsidRPr="003841C3" w:rsidRDefault="00615CB3" w:rsidP="00692C4E">
            <w:pPr>
              <w:pStyle w:val="BodyText"/>
              <w:spacing w:before="2"/>
              <w:jc w:val="both"/>
              <w:rPr>
                <w:rFonts w:ascii="Times New Roman" w:eastAsiaTheme="minorEastAsia" w:cs="Times New Roman"/>
                <w:sz w:val="24"/>
                <w:szCs w:val="24"/>
              </w:rPr>
            </w:pPr>
            <w:r w:rsidRPr="003841C3">
              <w:rPr>
                <w:sz w:val="24"/>
                <w:szCs w:val="24"/>
              </w:rPr>
              <w:t>認購人根據認購協議認購股</w:t>
            </w:r>
            <w:r w:rsidRPr="003841C3">
              <w:rPr>
                <w:rFonts w:hAnsi="PMingLiU" w:hint="eastAsia"/>
                <w:sz w:val="24"/>
                <w:szCs w:val="24"/>
              </w:rPr>
              <w:t>份</w:t>
            </w:r>
          </w:p>
        </w:tc>
      </w:tr>
      <w:tr w:rsidR="00692C4E" w:rsidRPr="007213EC" w14:paraId="6AF6AE6E" w14:textId="77777777" w:rsidTr="006E22BB">
        <w:tc>
          <w:tcPr>
            <w:tcW w:w="2955" w:type="dxa"/>
          </w:tcPr>
          <w:p w14:paraId="0891C4B5" w14:textId="77777777" w:rsidR="00692C4E" w:rsidRPr="003841C3" w:rsidRDefault="00692C4E" w:rsidP="00692C4E">
            <w:pPr>
              <w:pStyle w:val="BodyText"/>
              <w:spacing w:before="2"/>
              <w:rPr>
                <w:rFonts w:ascii="Times New Roman" w:eastAsiaTheme="minorEastAsia" w:cs="Times New Roman"/>
                <w:color w:val="231F20"/>
                <w:sz w:val="24"/>
                <w:szCs w:val="24"/>
              </w:rPr>
            </w:pPr>
          </w:p>
        </w:tc>
        <w:tc>
          <w:tcPr>
            <w:tcW w:w="476" w:type="dxa"/>
          </w:tcPr>
          <w:p w14:paraId="5B3407C1" w14:textId="77777777" w:rsidR="00692C4E" w:rsidRPr="007213EC" w:rsidRDefault="00692C4E" w:rsidP="00692C4E">
            <w:pPr>
              <w:pStyle w:val="BodyText"/>
              <w:spacing w:before="2"/>
              <w:rPr>
                <w:rFonts w:ascii="Times New Roman" w:eastAsiaTheme="minorEastAsia" w:cs="Times New Roman"/>
                <w:color w:val="231F20"/>
                <w:sz w:val="24"/>
                <w:szCs w:val="24"/>
              </w:rPr>
            </w:pPr>
          </w:p>
        </w:tc>
        <w:tc>
          <w:tcPr>
            <w:tcW w:w="6633" w:type="dxa"/>
          </w:tcPr>
          <w:p w14:paraId="761A5332" w14:textId="77777777" w:rsidR="00692C4E" w:rsidRPr="003841C3" w:rsidRDefault="00692C4E" w:rsidP="00692C4E">
            <w:pPr>
              <w:pStyle w:val="BodyText"/>
              <w:spacing w:before="2"/>
              <w:jc w:val="both"/>
              <w:rPr>
                <w:rFonts w:ascii="Times New Roman" w:eastAsiaTheme="minorEastAsia" w:cs="Times New Roman"/>
                <w:color w:val="231F20"/>
                <w:sz w:val="24"/>
                <w:szCs w:val="24"/>
              </w:rPr>
            </w:pPr>
          </w:p>
        </w:tc>
      </w:tr>
      <w:tr w:rsidR="00692C4E" w:rsidRPr="007213EC" w14:paraId="7EAA0779" w14:textId="77777777" w:rsidTr="006E22BB">
        <w:tc>
          <w:tcPr>
            <w:tcW w:w="2955" w:type="dxa"/>
          </w:tcPr>
          <w:p w14:paraId="5C5CA1E3" w14:textId="05194ED2" w:rsidR="00692C4E" w:rsidRPr="003841C3" w:rsidRDefault="00692C4E" w:rsidP="00692C4E">
            <w:pPr>
              <w:pStyle w:val="BodyText"/>
              <w:spacing w:before="2"/>
              <w:rPr>
                <w:rFonts w:ascii="Times New Roman" w:eastAsiaTheme="minorEastAsia" w:cs="Times New Roman"/>
                <w:color w:val="231F20"/>
                <w:sz w:val="24"/>
                <w:szCs w:val="24"/>
              </w:rPr>
            </w:pPr>
            <w:r w:rsidRPr="003841C3">
              <w:rPr>
                <w:sz w:val="24"/>
                <w:szCs w:val="24"/>
              </w:rPr>
              <w:t>「認購協議」</w:t>
            </w:r>
          </w:p>
        </w:tc>
        <w:tc>
          <w:tcPr>
            <w:tcW w:w="476" w:type="dxa"/>
          </w:tcPr>
          <w:p w14:paraId="68BB5C6D" w14:textId="288B7914" w:rsidR="00692C4E" w:rsidRPr="007213EC" w:rsidRDefault="00692C4E" w:rsidP="00692C4E">
            <w:pPr>
              <w:pStyle w:val="BodyText"/>
              <w:spacing w:before="2"/>
              <w:rPr>
                <w:rFonts w:ascii="Times New Roman" w:eastAsiaTheme="minorEastAsia" w:cs="Times New Roman"/>
                <w:color w:val="231F20"/>
                <w:sz w:val="24"/>
                <w:szCs w:val="24"/>
              </w:rPr>
            </w:pPr>
            <w:r w:rsidRPr="007213EC">
              <w:rPr>
                <w:rFonts w:ascii="Times New Roman" w:eastAsiaTheme="minorEastAsia" w:cs="Times New Roman"/>
                <w:color w:val="231F20"/>
                <w:sz w:val="24"/>
                <w:szCs w:val="24"/>
                <w:lang w:eastAsia="zh-CN"/>
              </w:rPr>
              <w:t>指</w:t>
            </w:r>
          </w:p>
        </w:tc>
        <w:tc>
          <w:tcPr>
            <w:tcW w:w="6633" w:type="dxa"/>
          </w:tcPr>
          <w:p w14:paraId="76D5AF11" w14:textId="6FBCD601" w:rsidR="00692C4E" w:rsidRPr="003841C3" w:rsidRDefault="00692C4E" w:rsidP="00692C4E">
            <w:pPr>
              <w:pStyle w:val="BodyText"/>
              <w:spacing w:before="2"/>
              <w:jc w:val="both"/>
              <w:rPr>
                <w:rFonts w:ascii="Times New Roman" w:eastAsiaTheme="minorEastAsia" w:cs="Times New Roman"/>
                <w:color w:val="231F20"/>
                <w:sz w:val="24"/>
                <w:szCs w:val="24"/>
              </w:rPr>
            </w:pPr>
            <w:r w:rsidRPr="003841C3">
              <w:rPr>
                <w:sz w:val="24"/>
                <w:szCs w:val="24"/>
              </w:rPr>
              <w:t>本公司與認購人就認購事項訂立日期為 2024 年 2 月 23 日的認購協</w:t>
            </w:r>
            <w:r w:rsidRPr="003841C3">
              <w:rPr>
                <w:rFonts w:hAnsi="PMingLiU" w:hint="eastAsia"/>
                <w:sz w:val="24"/>
                <w:szCs w:val="24"/>
              </w:rPr>
              <w:t>議</w:t>
            </w:r>
          </w:p>
        </w:tc>
      </w:tr>
      <w:tr w:rsidR="00692C4E" w:rsidRPr="007213EC" w14:paraId="2A80AF8D" w14:textId="77777777" w:rsidTr="006E22BB">
        <w:tc>
          <w:tcPr>
            <w:tcW w:w="2955" w:type="dxa"/>
          </w:tcPr>
          <w:p w14:paraId="624DD988" w14:textId="77777777" w:rsidR="00692C4E" w:rsidRPr="003841C3" w:rsidRDefault="00692C4E" w:rsidP="00692C4E">
            <w:pPr>
              <w:pStyle w:val="BodyText"/>
              <w:spacing w:before="2"/>
              <w:rPr>
                <w:sz w:val="24"/>
                <w:szCs w:val="24"/>
              </w:rPr>
            </w:pPr>
          </w:p>
        </w:tc>
        <w:tc>
          <w:tcPr>
            <w:tcW w:w="476" w:type="dxa"/>
          </w:tcPr>
          <w:p w14:paraId="5F9F1DCE" w14:textId="77777777" w:rsidR="00692C4E" w:rsidRPr="007213EC" w:rsidRDefault="00692C4E" w:rsidP="00692C4E">
            <w:pPr>
              <w:pStyle w:val="BodyText"/>
              <w:spacing w:before="2"/>
              <w:rPr>
                <w:rFonts w:ascii="Times New Roman" w:eastAsiaTheme="minorEastAsia" w:cs="Times New Roman"/>
                <w:color w:val="231F20"/>
                <w:sz w:val="24"/>
                <w:szCs w:val="24"/>
              </w:rPr>
            </w:pPr>
          </w:p>
        </w:tc>
        <w:tc>
          <w:tcPr>
            <w:tcW w:w="6633" w:type="dxa"/>
          </w:tcPr>
          <w:p w14:paraId="76475B26" w14:textId="77777777" w:rsidR="00692C4E" w:rsidRPr="003841C3" w:rsidRDefault="00692C4E" w:rsidP="00692C4E">
            <w:pPr>
              <w:pStyle w:val="BodyText"/>
              <w:spacing w:before="2"/>
              <w:jc w:val="both"/>
              <w:rPr>
                <w:sz w:val="24"/>
                <w:szCs w:val="24"/>
              </w:rPr>
            </w:pPr>
          </w:p>
        </w:tc>
      </w:tr>
      <w:tr w:rsidR="00692C4E" w:rsidRPr="007213EC" w14:paraId="2CFB35ED" w14:textId="77777777" w:rsidTr="006E22BB">
        <w:tc>
          <w:tcPr>
            <w:tcW w:w="2955" w:type="dxa"/>
          </w:tcPr>
          <w:p w14:paraId="05A15BA6" w14:textId="0D410E00" w:rsidR="00692C4E" w:rsidRPr="003841C3" w:rsidRDefault="00692C4E" w:rsidP="00692C4E">
            <w:pPr>
              <w:pStyle w:val="BodyText"/>
              <w:spacing w:before="2"/>
              <w:rPr>
                <w:sz w:val="24"/>
                <w:szCs w:val="24"/>
              </w:rPr>
            </w:pPr>
            <w:r w:rsidRPr="003841C3">
              <w:rPr>
                <w:sz w:val="24"/>
                <w:szCs w:val="24"/>
              </w:rPr>
              <w:t>「認購價」</w:t>
            </w:r>
          </w:p>
        </w:tc>
        <w:tc>
          <w:tcPr>
            <w:tcW w:w="476" w:type="dxa"/>
          </w:tcPr>
          <w:p w14:paraId="1A45A841" w14:textId="1392F176" w:rsidR="00692C4E" w:rsidRPr="007213EC" w:rsidRDefault="00692C4E" w:rsidP="00692C4E">
            <w:pPr>
              <w:pStyle w:val="BodyText"/>
              <w:spacing w:before="2"/>
              <w:rPr>
                <w:rFonts w:ascii="Times New Roman" w:eastAsiaTheme="minorEastAsia" w:cs="Times New Roman"/>
                <w:color w:val="231F20"/>
                <w:sz w:val="24"/>
                <w:szCs w:val="24"/>
                <w:lang w:eastAsia="zh-CN"/>
              </w:rPr>
            </w:pPr>
            <w:r w:rsidRPr="007213EC">
              <w:rPr>
                <w:rFonts w:ascii="Times New Roman" w:eastAsiaTheme="minorEastAsia" w:cs="Times New Roman"/>
                <w:color w:val="231F20"/>
                <w:sz w:val="24"/>
                <w:szCs w:val="24"/>
                <w:lang w:eastAsia="zh-CN"/>
              </w:rPr>
              <w:t>指</w:t>
            </w:r>
          </w:p>
        </w:tc>
        <w:tc>
          <w:tcPr>
            <w:tcW w:w="6633" w:type="dxa"/>
          </w:tcPr>
          <w:p w14:paraId="7D547AE2" w14:textId="6BCCF0CE" w:rsidR="00692C4E" w:rsidRPr="003841C3" w:rsidRDefault="00692C4E" w:rsidP="00692C4E">
            <w:pPr>
              <w:pStyle w:val="BodyText"/>
              <w:spacing w:before="2"/>
              <w:jc w:val="both"/>
              <w:rPr>
                <w:sz w:val="24"/>
                <w:szCs w:val="24"/>
              </w:rPr>
            </w:pPr>
            <w:r w:rsidRPr="003841C3">
              <w:rPr>
                <w:sz w:val="24"/>
                <w:szCs w:val="24"/>
              </w:rPr>
              <w:t>每股認購股份的認購價 1.40 港</w:t>
            </w:r>
            <w:r w:rsidRPr="003841C3">
              <w:rPr>
                <w:rFonts w:hAnsi="PMingLiU" w:hint="eastAsia"/>
                <w:sz w:val="24"/>
                <w:szCs w:val="24"/>
              </w:rPr>
              <w:t>元</w:t>
            </w:r>
          </w:p>
        </w:tc>
      </w:tr>
      <w:tr w:rsidR="00692C4E" w:rsidRPr="007213EC" w14:paraId="1D632501" w14:textId="77777777" w:rsidTr="006E22BB">
        <w:tc>
          <w:tcPr>
            <w:tcW w:w="2955" w:type="dxa"/>
          </w:tcPr>
          <w:p w14:paraId="5BB58A16" w14:textId="77777777" w:rsidR="00692C4E" w:rsidRPr="003841C3" w:rsidRDefault="00692C4E" w:rsidP="00692C4E">
            <w:pPr>
              <w:pStyle w:val="BodyText"/>
              <w:spacing w:before="2"/>
              <w:rPr>
                <w:rFonts w:ascii="Times New Roman" w:eastAsiaTheme="minorEastAsia" w:cs="Times New Roman"/>
                <w:color w:val="231F20"/>
                <w:sz w:val="24"/>
                <w:szCs w:val="24"/>
              </w:rPr>
            </w:pPr>
          </w:p>
        </w:tc>
        <w:tc>
          <w:tcPr>
            <w:tcW w:w="476" w:type="dxa"/>
          </w:tcPr>
          <w:p w14:paraId="5E7F431C" w14:textId="77777777" w:rsidR="00692C4E" w:rsidRPr="007213EC" w:rsidRDefault="00692C4E" w:rsidP="00692C4E">
            <w:pPr>
              <w:pStyle w:val="BodyText"/>
              <w:spacing w:before="2"/>
              <w:rPr>
                <w:rFonts w:ascii="Times New Roman" w:eastAsiaTheme="minorEastAsia" w:cs="Times New Roman"/>
                <w:color w:val="231F20"/>
                <w:sz w:val="24"/>
                <w:szCs w:val="24"/>
              </w:rPr>
            </w:pPr>
          </w:p>
        </w:tc>
        <w:tc>
          <w:tcPr>
            <w:tcW w:w="6633" w:type="dxa"/>
          </w:tcPr>
          <w:p w14:paraId="533E7033" w14:textId="77777777" w:rsidR="00692C4E" w:rsidRPr="003841C3" w:rsidRDefault="00692C4E" w:rsidP="00692C4E">
            <w:pPr>
              <w:pStyle w:val="BodyText"/>
              <w:spacing w:before="2"/>
              <w:jc w:val="both"/>
              <w:rPr>
                <w:rFonts w:ascii="Times New Roman" w:eastAsiaTheme="minorEastAsia" w:cs="Times New Roman"/>
                <w:color w:val="231F20"/>
                <w:sz w:val="24"/>
                <w:szCs w:val="24"/>
              </w:rPr>
            </w:pPr>
          </w:p>
        </w:tc>
      </w:tr>
      <w:tr w:rsidR="00692C4E" w:rsidRPr="007213EC" w14:paraId="693B09F8" w14:textId="77777777" w:rsidTr="006E22BB">
        <w:tc>
          <w:tcPr>
            <w:tcW w:w="2955" w:type="dxa"/>
          </w:tcPr>
          <w:p w14:paraId="243996D7" w14:textId="0C398DF5" w:rsidR="00692C4E" w:rsidRPr="003841C3" w:rsidRDefault="00692C4E" w:rsidP="00692C4E">
            <w:pPr>
              <w:pStyle w:val="BodyText"/>
              <w:spacing w:before="2"/>
              <w:rPr>
                <w:rFonts w:ascii="Times New Roman" w:eastAsiaTheme="minorEastAsia" w:cs="Times New Roman"/>
                <w:color w:val="231F20"/>
                <w:sz w:val="24"/>
                <w:szCs w:val="24"/>
              </w:rPr>
            </w:pPr>
            <w:r w:rsidRPr="003841C3">
              <w:rPr>
                <w:sz w:val="24"/>
                <w:szCs w:val="24"/>
              </w:rPr>
              <w:t>「認購股份」</w:t>
            </w:r>
          </w:p>
        </w:tc>
        <w:tc>
          <w:tcPr>
            <w:tcW w:w="476" w:type="dxa"/>
          </w:tcPr>
          <w:p w14:paraId="505C6981" w14:textId="537A0FC4" w:rsidR="00692C4E" w:rsidRPr="007213EC" w:rsidRDefault="00692C4E" w:rsidP="00692C4E">
            <w:pPr>
              <w:pStyle w:val="BodyText"/>
              <w:spacing w:before="2"/>
              <w:rPr>
                <w:rFonts w:ascii="Times New Roman" w:eastAsiaTheme="minorEastAsia" w:cs="Times New Roman"/>
                <w:color w:val="231F20"/>
                <w:sz w:val="24"/>
                <w:szCs w:val="24"/>
              </w:rPr>
            </w:pPr>
            <w:r w:rsidRPr="007213EC">
              <w:rPr>
                <w:rFonts w:ascii="Times New Roman" w:eastAsiaTheme="minorEastAsia" w:cs="Times New Roman"/>
                <w:color w:val="231F20"/>
                <w:sz w:val="24"/>
                <w:szCs w:val="24"/>
                <w:lang w:eastAsia="zh-CN"/>
              </w:rPr>
              <w:t>指</w:t>
            </w:r>
          </w:p>
        </w:tc>
        <w:tc>
          <w:tcPr>
            <w:tcW w:w="6633" w:type="dxa"/>
          </w:tcPr>
          <w:p w14:paraId="04486AEF" w14:textId="2B209667" w:rsidR="00692C4E" w:rsidRPr="003841C3" w:rsidRDefault="00692C4E" w:rsidP="00692C4E">
            <w:pPr>
              <w:pStyle w:val="BodyText"/>
              <w:spacing w:before="2"/>
              <w:jc w:val="both"/>
              <w:rPr>
                <w:rFonts w:ascii="Times New Roman" w:eastAsiaTheme="minorEastAsia" w:cs="Times New Roman"/>
                <w:color w:val="231F20"/>
                <w:sz w:val="24"/>
                <w:szCs w:val="24"/>
              </w:rPr>
            </w:pPr>
            <w:r w:rsidRPr="003841C3">
              <w:rPr>
                <w:sz w:val="24"/>
                <w:szCs w:val="24"/>
              </w:rPr>
              <w:t>本公司將根據認購協議向認購人配發及發行的合共 7,136,000 股股</w:t>
            </w:r>
            <w:r w:rsidRPr="003841C3">
              <w:rPr>
                <w:rFonts w:hAnsi="PMingLiU" w:hint="eastAsia"/>
                <w:sz w:val="24"/>
                <w:szCs w:val="24"/>
              </w:rPr>
              <w:t>份</w:t>
            </w:r>
          </w:p>
        </w:tc>
      </w:tr>
      <w:tr w:rsidR="00692C4E" w:rsidRPr="007213EC" w14:paraId="1D627229" w14:textId="77777777" w:rsidTr="006E22BB">
        <w:tc>
          <w:tcPr>
            <w:tcW w:w="2955" w:type="dxa"/>
          </w:tcPr>
          <w:p w14:paraId="03198DCA" w14:textId="77777777" w:rsidR="00692C4E" w:rsidRPr="003841C3" w:rsidRDefault="00692C4E" w:rsidP="00692C4E">
            <w:pPr>
              <w:pStyle w:val="BodyText"/>
              <w:spacing w:before="2"/>
              <w:rPr>
                <w:sz w:val="24"/>
                <w:szCs w:val="24"/>
              </w:rPr>
            </w:pPr>
          </w:p>
        </w:tc>
        <w:tc>
          <w:tcPr>
            <w:tcW w:w="476" w:type="dxa"/>
          </w:tcPr>
          <w:p w14:paraId="066123C7" w14:textId="77777777" w:rsidR="00692C4E" w:rsidRPr="007213EC" w:rsidRDefault="00692C4E" w:rsidP="00692C4E">
            <w:pPr>
              <w:pStyle w:val="BodyText"/>
              <w:spacing w:before="2"/>
              <w:rPr>
                <w:rFonts w:ascii="Times New Roman" w:eastAsiaTheme="minorEastAsia" w:cs="Times New Roman"/>
                <w:color w:val="231F20"/>
                <w:sz w:val="24"/>
                <w:szCs w:val="24"/>
              </w:rPr>
            </w:pPr>
          </w:p>
        </w:tc>
        <w:tc>
          <w:tcPr>
            <w:tcW w:w="6633" w:type="dxa"/>
          </w:tcPr>
          <w:p w14:paraId="57A62EE8" w14:textId="77777777" w:rsidR="00692C4E" w:rsidRPr="003841C3" w:rsidRDefault="00692C4E" w:rsidP="00692C4E">
            <w:pPr>
              <w:pStyle w:val="BodyText"/>
              <w:spacing w:before="2"/>
              <w:jc w:val="both"/>
              <w:rPr>
                <w:sz w:val="24"/>
                <w:szCs w:val="24"/>
              </w:rPr>
            </w:pPr>
          </w:p>
        </w:tc>
      </w:tr>
      <w:tr w:rsidR="00692C4E" w:rsidRPr="007213EC" w14:paraId="5E77843C" w14:textId="77777777" w:rsidTr="006E22BB">
        <w:tc>
          <w:tcPr>
            <w:tcW w:w="2955" w:type="dxa"/>
          </w:tcPr>
          <w:p w14:paraId="6D9EB8B5" w14:textId="4D7AC597" w:rsidR="00692C4E" w:rsidRPr="003841C3" w:rsidRDefault="00692C4E" w:rsidP="00692C4E">
            <w:pPr>
              <w:pStyle w:val="BodyText"/>
              <w:spacing w:before="2"/>
              <w:rPr>
                <w:sz w:val="24"/>
                <w:szCs w:val="24"/>
              </w:rPr>
            </w:pPr>
            <w:r w:rsidRPr="003841C3">
              <w:rPr>
                <w:sz w:val="24"/>
                <w:szCs w:val="24"/>
              </w:rPr>
              <w:t>「%」</w:t>
            </w:r>
          </w:p>
        </w:tc>
        <w:tc>
          <w:tcPr>
            <w:tcW w:w="476" w:type="dxa"/>
          </w:tcPr>
          <w:p w14:paraId="7D20E2AC" w14:textId="3D3DB45C" w:rsidR="00692C4E" w:rsidRPr="007213EC" w:rsidRDefault="00692C4E" w:rsidP="00692C4E">
            <w:pPr>
              <w:pStyle w:val="BodyText"/>
              <w:spacing w:before="2"/>
              <w:rPr>
                <w:rFonts w:ascii="Times New Roman" w:eastAsiaTheme="minorEastAsia" w:cs="Times New Roman"/>
                <w:color w:val="231F20"/>
                <w:sz w:val="24"/>
                <w:szCs w:val="24"/>
                <w:lang w:eastAsia="zh-CN"/>
              </w:rPr>
            </w:pPr>
            <w:r w:rsidRPr="007213EC">
              <w:rPr>
                <w:rFonts w:ascii="Times New Roman" w:eastAsiaTheme="minorEastAsia" w:cs="Times New Roman"/>
                <w:color w:val="231F20"/>
                <w:sz w:val="24"/>
                <w:szCs w:val="24"/>
                <w:lang w:eastAsia="zh-CN"/>
              </w:rPr>
              <w:t>指</w:t>
            </w:r>
          </w:p>
        </w:tc>
        <w:tc>
          <w:tcPr>
            <w:tcW w:w="6633" w:type="dxa"/>
          </w:tcPr>
          <w:p w14:paraId="71A4E87A" w14:textId="6CC9F64B" w:rsidR="00692C4E" w:rsidRPr="003841C3" w:rsidRDefault="00692C4E" w:rsidP="00692C4E">
            <w:pPr>
              <w:pStyle w:val="BodyText"/>
              <w:spacing w:before="2"/>
              <w:jc w:val="both"/>
              <w:rPr>
                <w:sz w:val="24"/>
                <w:szCs w:val="24"/>
              </w:rPr>
            </w:pPr>
            <w:r w:rsidRPr="003841C3">
              <w:rPr>
                <w:sz w:val="24"/>
                <w:szCs w:val="24"/>
              </w:rPr>
              <w:t>百分</w:t>
            </w:r>
            <w:r w:rsidRPr="003841C3">
              <w:rPr>
                <w:rFonts w:hAnsi="PMingLiU" w:hint="eastAsia"/>
                <w:sz w:val="24"/>
                <w:szCs w:val="24"/>
              </w:rPr>
              <w:t>比</w:t>
            </w:r>
          </w:p>
        </w:tc>
      </w:tr>
      <w:tr w:rsidR="00692C4E" w:rsidRPr="007213EC" w14:paraId="7E9DA683" w14:textId="77777777" w:rsidTr="006E22BB">
        <w:tc>
          <w:tcPr>
            <w:tcW w:w="2955" w:type="dxa"/>
          </w:tcPr>
          <w:p w14:paraId="285B3695" w14:textId="77777777" w:rsidR="00692C4E" w:rsidRPr="007213EC" w:rsidRDefault="00692C4E" w:rsidP="00692C4E">
            <w:pPr>
              <w:pStyle w:val="BodyText"/>
              <w:spacing w:before="2"/>
              <w:rPr>
                <w:rFonts w:ascii="Times New Roman" w:eastAsiaTheme="minorEastAsia" w:cs="Times New Roman"/>
                <w:color w:val="231F20"/>
                <w:sz w:val="24"/>
                <w:szCs w:val="24"/>
              </w:rPr>
            </w:pPr>
          </w:p>
        </w:tc>
        <w:tc>
          <w:tcPr>
            <w:tcW w:w="476" w:type="dxa"/>
          </w:tcPr>
          <w:p w14:paraId="4E49CD64" w14:textId="77777777" w:rsidR="00692C4E" w:rsidRPr="007213EC" w:rsidRDefault="00692C4E" w:rsidP="00692C4E">
            <w:pPr>
              <w:pStyle w:val="BodyText"/>
              <w:spacing w:before="2"/>
              <w:rPr>
                <w:rFonts w:ascii="Times New Roman" w:eastAsiaTheme="minorEastAsia" w:cs="Times New Roman"/>
                <w:color w:val="231F20"/>
                <w:sz w:val="24"/>
                <w:szCs w:val="24"/>
              </w:rPr>
            </w:pPr>
          </w:p>
        </w:tc>
        <w:tc>
          <w:tcPr>
            <w:tcW w:w="6633" w:type="dxa"/>
          </w:tcPr>
          <w:p w14:paraId="00595850" w14:textId="77777777" w:rsidR="00692C4E" w:rsidRPr="003841C3" w:rsidRDefault="00692C4E" w:rsidP="00692C4E">
            <w:pPr>
              <w:pStyle w:val="BodyText"/>
              <w:spacing w:before="2"/>
              <w:jc w:val="both"/>
              <w:rPr>
                <w:rFonts w:ascii="Times New Roman" w:eastAsiaTheme="minorEastAsia" w:cs="Times New Roman"/>
                <w:color w:val="231F20"/>
                <w:sz w:val="24"/>
                <w:szCs w:val="24"/>
              </w:rPr>
            </w:pPr>
          </w:p>
        </w:tc>
      </w:tr>
    </w:tbl>
    <w:p w14:paraId="13698149" w14:textId="77777777" w:rsidR="00F21423" w:rsidRPr="007213EC" w:rsidRDefault="00F21423" w:rsidP="00F34C79">
      <w:pPr>
        <w:pStyle w:val="BodyText"/>
        <w:tabs>
          <w:tab w:val="left" w:pos="3568"/>
        </w:tabs>
        <w:ind w:left="166"/>
        <w:rPr>
          <w:rFonts w:ascii="Times New Roman" w:eastAsiaTheme="minorEastAsia" w:cs="Times New Roman"/>
          <w:sz w:val="24"/>
          <w:szCs w:val="24"/>
        </w:rPr>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819"/>
      </w:tblGrid>
      <w:tr w:rsidR="00F21423" w:rsidRPr="007213EC" w14:paraId="41D09840" w14:textId="77777777" w:rsidTr="00F21423">
        <w:tc>
          <w:tcPr>
            <w:tcW w:w="6204" w:type="dxa"/>
          </w:tcPr>
          <w:p w14:paraId="519187E3" w14:textId="77777777" w:rsidR="00F21423" w:rsidRPr="007213EC" w:rsidRDefault="00F21423">
            <w:pPr>
              <w:pStyle w:val="BodyText"/>
              <w:kinsoku w:val="0"/>
              <w:overflowPunct w:val="0"/>
              <w:spacing w:before="4"/>
              <w:rPr>
                <w:rFonts w:ascii="Times New Roman" w:eastAsiaTheme="minorEastAsia" w:cs="Times New Roman"/>
                <w:b/>
                <w:bCs/>
                <w:sz w:val="24"/>
                <w:szCs w:val="24"/>
                <w:lang w:eastAsia="en-US"/>
              </w:rPr>
            </w:pPr>
          </w:p>
        </w:tc>
        <w:tc>
          <w:tcPr>
            <w:tcW w:w="4819" w:type="dxa"/>
          </w:tcPr>
          <w:p w14:paraId="5716FC69" w14:textId="77777777" w:rsidR="00F21423" w:rsidRPr="007213EC" w:rsidRDefault="00F21423">
            <w:pPr>
              <w:pStyle w:val="BodyText"/>
              <w:kinsoku w:val="0"/>
              <w:overflowPunct w:val="0"/>
              <w:spacing w:before="4"/>
              <w:rPr>
                <w:rFonts w:ascii="Times New Roman" w:eastAsiaTheme="minorEastAsia" w:cs="Times New Roman"/>
                <w:b/>
                <w:bCs/>
                <w:sz w:val="24"/>
                <w:szCs w:val="24"/>
              </w:rPr>
            </w:pPr>
          </w:p>
          <w:p w14:paraId="27DE2608" w14:textId="77777777" w:rsidR="00F21423" w:rsidRPr="007213EC" w:rsidRDefault="00F21423" w:rsidP="00F21423">
            <w:pPr>
              <w:pStyle w:val="BodyText"/>
              <w:kinsoku w:val="0"/>
              <w:overflowPunct w:val="0"/>
              <w:spacing w:before="4"/>
              <w:jc w:val="center"/>
              <w:rPr>
                <w:rFonts w:ascii="Times New Roman" w:eastAsiaTheme="minorEastAsia" w:cs="Times New Roman"/>
                <w:sz w:val="24"/>
                <w:szCs w:val="24"/>
              </w:rPr>
            </w:pPr>
            <w:r w:rsidRPr="007213EC">
              <w:rPr>
                <w:rFonts w:ascii="Times New Roman" w:eastAsiaTheme="minorEastAsia" w:cs="Times New Roman"/>
                <w:sz w:val="24"/>
                <w:szCs w:val="24"/>
              </w:rPr>
              <w:t>承董事會命</w:t>
            </w:r>
          </w:p>
          <w:p w14:paraId="1065CB3D" w14:textId="77777777" w:rsidR="00F21423" w:rsidRPr="007213EC" w:rsidRDefault="00F21423" w:rsidP="00F21423">
            <w:pPr>
              <w:pStyle w:val="BodyText"/>
              <w:kinsoku w:val="0"/>
              <w:overflowPunct w:val="0"/>
              <w:spacing w:before="4"/>
              <w:jc w:val="center"/>
              <w:rPr>
                <w:rFonts w:ascii="Times New Roman" w:eastAsiaTheme="minorEastAsia" w:cs="Times New Roman"/>
                <w:b/>
                <w:bCs/>
                <w:sz w:val="24"/>
                <w:szCs w:val="24"/>
              </w:rPr>
            </w:pPr>
            <w:r w:rsidRPr="007213EC">
              <w:rPr>
                <w:rFonts w:ascii="Times New Roman" w:eastAsiaTheme="minorEastAsia" w:cs="Times New Roman"/>
                <w:b/>
                <w:bCs/>
                <w:sz w:val="24"/>
                <w:szCs w:val="24"/>
              </w:rPr>
              <w:t>亦辰集團有限公司</w:t>
            </w:r>
          </w:p>
          <w:p w14:paraId="2C329DD5" w14:textId="77777777" w:rsidR="00F21423" w:rsidRPr="007213EC" w:rsidRDefault="00F21423" w:rsidP="00F21423">
            <w:pPr>
              <w:pStyle w:val="BodyText"/>
              <w:kinsoku w:val="0"/>
              <w:overflowPunct w:val="0"/>
              <w:spacing w:before="4"/>
              <w:jc w:val="center"/>
              <w:rPr>
                <w:rFonts w:ascii="Times New Roman" w:eastAsiaTheme="minorEastAsia" w:cs="Times New Roman"/>
                <w:i/>
                <w:iCs/>
                <w:sz w:val="24"/>
                <w:szCs w:val="24"/>
                <w:lang w:eastAsia="en-US"/>
              </w:rPr>
            </w:pPr>
            <w:r w:rsidRPr="007213EC">
              <w:rPr>
                <w:rFonts w:ascii="Times New Roman" w:eastAsiaTheme="minorEastAsia" w:cs="Times New Roman"/>
                <w:i/>
                <w:iCs/>
                <w:sz w:val="24"/>
                <w:szCs w:val="24"/>
                <w:lang w:eastAsia="en-US"/>
              </w:rPr>
              <w:t>執行董事</w:t>
            </w:r>
          </w:p>
          <w:p w14:paraId="2CDDB079" w14:textId="77777777" w:rsidR="00F21423" w:rsidRPr="007213EC" w:rsidRDefault="00F21423" w:rsidP="00F21423">
            <w:pPr>
              <w:pStyle w:val="BodyText"/>
              <w:kinsoku w:val="0"/>
              <w:overflowPunct w:val="0"/>
              <w:spacing w:before="4"/>
              <w:jc w:val="center"/>
              <w:rPr>
                <w:rFonts w:ascii="Times New Roman" w:eastAsiaTheme="minorEastAsia" w:cs="Times New Roman"/>
                <w:b/>
                <w:bCs/>
                <w:sz w:val="24"/>
                <w:szCs w:val="24"/>
                <w:lang w:eastAsia="en-US"/>
              </w:rPr>
            </w:pPr>
            <w:r w:rsidRPr="007213EC">
              <w:rPr>
                <w:rFonts w:ascii="Times New Roman" w:eastAsiaTheme="minorEastAsia" w:cs="Times New Roman"/>
                <w:b/>
                <w:bCs/>
                <w:sz w:val="24"/>
                <w:szCs w:val="24"/>
                <w:lang w:eastAsia="en-US"/>
              </w:rPr>
              <w:t>許永權</w:t>
            </w:r>
          </w:p>
          <w:p w14:paraId="4FC7DF5B" w14:textId="77777777" w:rsidR="00F21423" w:rsidRPr="007213EC" w:rsidRDefault="00F21423">
            <w:pPr>
              <w:pStyle w:val="BodyText"/>
              <w:kinsoku w:val="0"/>
              <w:overflowPunct w:val="0"/>
              <w:spacing w:before="4"/>
              <w:rPr>
                <w:rFonts w:ascii="Times New Roman" w:eastAsiaTheme="minorEastAsia" w:cs="Times New Roman"/>
                <w:b/>
                <w:bCs/>
                <w:sz w:val="24"/>
                <w:szCs w:val="24"/>
                <w:lang w:eastAsia="en-US"/>
              </w:rPr>
            </w:pPr>
          </w:p>
        </w:tc>
      </w:tr>
    </w:tbl>
    <w:p w14:paraId="7A6DA231" w14:textId="28E7ACE6" w:rsidR="00B31355" w:rsidRPr="007213EC" w:rsidRDefault="00B31355">
      <w:pPr>
        <w:pStyle w:val="BodyText"/>
        <w:kinsoku w:val="0"/>
        <w:overflowPunct w:val="0"/>
        <w:spacing w:before="53"/>
        <w:ind w:left="208"/>
        <w:rPr>
          <w:rFonts w:ascii="Times New Roman" w:eastAsiaTheme="minorEastAsia" w:cs="Times New Roman"/>
          <w:color w:val="221E1F"/>
          <w:spacing w:val="10"/>
          <w:sz w:val="24"/>
          <w:szCs w:val="24"/>
        </w:rPr>
      </w:pPr>
      <w:r w:rsidRPr="007213EC">
        <w:rPr>
          <w:rFonts w:ascii="Times New Roman" w:eastAsiaTheme="minorEastAsia" w:cs="Times New Roman"/>
          <w:color w:val="221E1F"/>
          <w:spacing w:val="10"/>
          <w:sz w:val="24"/>
          <w:szCs w:val="24"/>
        </w:rPr>
        <w:t>香港，</w:t>
      </w:r>
      <w:r w:rsidR="00960D03">
        <w:rPr>
          <w:rFonts w:ascii="Times New Roman" w:eastAsiaTheme="minorEastAsia" w:cs="Times New Roman" w:hint="eastAsia"/>
          <w:color w:val="221E1F"/>
          <w:spacing w:val="10"/>
          <w:sz w:val="24"/>
          <w:szCs w:val="24"/>
        </w:rPr>
        <w:t>2</w:t>
      </w:r>
      <w:r w:rsidR="00960D03">
        <w:rPr>
          <w:rFonts w:ascii="Times New Roman" w:eastAsiaTheme="minorEastAsia" w:cs="Times New Roman"/>
          <w:color w:val="221E1F"/>
          <w:spacing w:val="10"/>
          <w:sz w:val="24"/>
          <w:szCs w:val="24"/>
        </w:rPr>
        <w:t xml:space="preserve">024 </w:t>
      </w:r>
      <w:r w:rsidRPr="007213EC">
        <w:rPr>
          <w:rFonts w:ascii="Times New Roman" w:eastAsiaTheme="minorEastAsia" w:cs="Times New Roman"/>
          <w:color w:val="221E1F"/>
          <w:spacing w:val="10"/>
          <w:sz w:val="24"/>
          <w:szCs w:val="24"/>
        </w:rPr>
        <w:t>年</w:t>
      </w:r>
      <w:r w:rsidR="00960D03">
        <w:rPr>
          <w:rFonts w:ascii="Times New Roman" w:cs="Times New Roman" w:hint="eastAsia"/>
          <w:color w:val="231F20"/>
          <w:sz w:val="24"/>
          <w:szCs w:val="24"/>
        </w:rPr>
        <w:t xml:space="preserve"> </w:t>
      </w:r>
      <w:r w:rsidR="00960D03">
        <w:rPr>
          <w:rFonts w:ascii="Times New Roman" w:cs="Times New Roman"/>
          <w:color w:val="231F20"/>
          <w:sz w:val="24"/>
          <w:szCs w:val="24"/>
        </w:rPr>
        <w:t xml:space="preserve">2 </w:t>
      </w:r>
      <w:r w:rsidR="00CC093C" w:rsidRPr="007213EC">
        <w:rPr>
          <w:rFonts w:ascii="Times New Roman" w:cs="Times New Roman"/>
          <w:color w:val="231F20"/>
          <w:sz w:val="24"/>
          <w:szCs w:val="24"/>
        </w:rPr>
        <w:t>月</w:t>
      </w:r>
      <w:r w:rsidR="00960D03">
        <w:rPr>
          <w:rFonts w:ascii="Times New Roman" w:cs="Times New Roman"/>
          <w:color w:val="231F20"/>
          <w:sz w:val="24"/>
          <w:szCs w:val="24"/>
        </w:rPr>
        <w:t xml:space="preserve"> 2</w:t>
      </w:r>
      <w:r w:rsidR="006100DF">
        <w:rPr>
          <w:rFonts w:ascii="Times New Roman" w:cs="Times New Roman"/>
          <w:color w:val="231F20"/>
          <w:sz w:val="24"/>
          <w:szCs w:val="24"/>
        </w:rPr>
        <w:t>3</w:t>
      </w:r>
      <w:r w:rsidR="00C70501">
        <w:rPr>
          <w:rFonts w:ascii="Times New Roman" w:cs="Times New Roman"/>
          <w:color w:val="231F20"/>
          <w:sz w:val="24"/>
          <w:szCs w:val="24"/>
        </w:rPr>
        <w:t xml:space="preserve"> </w:t>
      </w:r>
      <w:r w:rsidR="00CC093C" w:rsidRPr="007213EC">
        <w:rPr>
          <w:rFonts w:ascii="Times New Roman" w:cs="Times New Roman"/>
          <w:color w:val="231F20"/>
          <w:sz w:val="24"/>
          <w:szCs w:val="24"/>
        </w:rPr>
        <w:t>日</w:t>
      </w:r>
    </w:p>
    <w:p w14:paraId="5AF434ED" w14:textId="77777777" w:rsidR="00B31355" w:rsidRDefault="00B31355">
      <w:pPr>
        <w:pStyle w:val="BodyText"/>
        <w:kinsoku w:val="0"/>
        <w:overflowPunct w:val="0"/>
        <w:spacing w:before="5"/>
        <w:rPr>
          <w:rFonts w:ascii="Times New Roman" w:eastAsiaTheme="minorEastAsia" w:cs="Times New Roman"/>
          <w:sz w:val="24"/>
          <w:szCs w:val="24"/>
        </w:rPr>
      </w:pPr>
    </w:p>
    <w:p w14:paraId="72F9E87E" w14:textId="77777777" w:rsidR="001024D2" w:rsidRPr="007213EC" w:rsidRDefault="001024D2">
      <w:pPr>
        <w:pStyle w:val="BodyText"/>
        <w:kinsoku w:val="0"/>
        <w:overflowPunct w:val="0"/>
        <w:spacing w:before="5"/>
        <w:rPr>
          <w:rFonts w:ascii="Times New Roman" w:eastAsiaTheme="minorEastAsia" w:cs="Times New Roman"/>
          <w:sz w:val="24"/>
          <w:szCs w:val="24"/>
        </w:rPr>
      </w:pPr>
    </w:p>
    <w:p w14:paraId="659F3D24" w14:textId="77777777" w:rsidR="00B31355" w:rsidRPr="007213EC" w:rsidRDefault="00B31355">
      <w:pPr>
        <w:pStyle w:val="BodyText"/>
        <w:kinsoku w:val="0"/>
        <w:overflowPunct w:val="0"/>
        <w:ind w:left="209"/>
        <w:rPr>
          <w:rFonts w:ascii="Times New Roman" w:eastAsiaTheme="minorEastAsia" w:cs="Times New Roman"/>
          <w:color w:val="221E1F"/>
          <w:spacing w:val="14"/>
          <w:sz w:val="24"/>
          <w:szCs w:val="24"/>
        </w:rPr>
      </w:pPr>
      <w:r w:rsidRPr="007213EC">
        <w:rPr>
          <w:rFonts w:ascii="Times New Roman" w:eastAsiaTheme="minorEastAsia" w:cs="Times New Roman"/>
          <w:color w:val="221E1F"/>
          <w:spacing w:val="14"/>
          <w:sz w:val="24"/>
          <w:szCs w:val="24"/>
        </w:rPr>
        <w:t>於本公告日期，本公司董事為：</w:t>
      </w:r>
    </w:p>
    <w:p w14:paraId="28F96E23" w14:textId="77777777" w:rsidR="00B31355" w:rsidRPr="007213EC" w:rsidRDefault="00B31355">
      <w:pPr>
        <w:pStyle w:val="BodyText"/>
        <w:kinsoku w:val="0"/>
        <w:overflowPunct w:val="0"/>
        <w:spacing w:before="12"/>
        <w:rPr>
          <w:rFonts w:ascii="Times New Roman" w:eastAsiaTheme="minorEastAsia"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0"/>
      </w:tblGrid>
      <w:tr w:rsidR="00F21423" w:rsidRPr="007213EC" w14:paraId="0388F851" w14:textId="77777777" w:rsidTr="00F21423">
        <w:tc>
          <w:tcPr>
            <w:tcW w:w="10346" w:type="dxa"/>
          </w:tcPr>
          <w:p w14:paraId="04030950" w14:textId="77777777" w:rsidR="00F21423" w:rsidRPr="007213EC" w:rsidRDefault="00F21423" w:rsidP="00F21423">
            <w:pPr>
              <w:pStyle w:val="BodyText"/>
              <w:kinsoku w:val="0"/>
              <w:overflowPunct w:val="0"/>
              <w:spacing w:line="321" w:lineRule="exact"/>
              <w:ind w:left="206"/>
              <w:rPr>
                <w:rFonts w:ascii="Times New Roman" w:eastAsiaTheme="minorEastAsia" w:cs="Times New Roman"/>
                <w:b/>
                <w:bCs/>
                <w:color w:val="221E1F"/>
                <w:spacing w:val="-2"/>
                <w:sz w:val="24"/>
                <w:szCs w:val="24"/>
                <w:lang w:eastAsia="en-US"/>
              </w:rPr>
            </w:pPr>
            <w:r w:rsidRPr="007213EC">
              <w:rPr>
                <w:rFonts w:ascii="Times New Roman" w:eastAsiaTheme="minorEastAsia" w:cs="Times New Roman"/>
                <w:b/>
                <w:bCs/>
                <w:color w:val="221E1F"/>
                <w:spacing w:val="-2"/>
                <w:sz w:val="24"/>
                <w:szCs w:val="24"/>
                <w:lang w:eastAsia="en-US"/>
              </w:rPr>
              <w:t>執行董事：</w:t>
            </w:r>
          </w:p>
        </w:tc>
      </w:tr>
      <w:tr w:rsidR="00F21423" w:rsidRPr="007213EC" w14:paraId="796E6B03" w14:textId="77777777" w:rsidTr="00F21423">
        <w:tc>
          <w:tcPr>
            <w:tcW w:w="10346" w:type="dxa"/>
          </w:tcPr>
          <w:p w14:paraId="38AADC05" w14:textId="77777777" w:rsidR="00F21423" w:rsidRPr="007213EC" w:rsidRDefault="00F21423" w:rsidP="00F21423">
            <w:pPr>
              <w:pStyle w:val="BodyText"/>
              <w:kinsoku w:val="0"/>
              <w:overflowPunct w:val="0"/>
              <w:spacing w:line="321" w:lineRule="exact"/>
              <w:ind w:left="206"/>
              <w:rPr>
                <w:rFonts w:ascii="Times New Roman" w:eastAsiaTheme="minorEastAsia" w:cs="Times New Roman"/>
                <w:color w:val="221E1F"/>
                <w:spacing w:val="-2"/>
                <w:sz w:val="24"/>
                <w:szCs w:val="24"/>
              </w:rPr>
            </w:pPr>
            <w:r w:rsidRPr="007213EC">
              <w:rPr>
                <w:rFonts w:ascii="Times New Roman" w:eastAsiaTheme="minorEastAsia" w:cs="Times New Roman"/>
                <w:color w:val="221E1F"/>
                <w:spacing w:val="-2"/>
                <w:sz w:val="24"/>
                <w:szCs w:val="24"/>
              </w:rPr>
              <w:t>李民強先生（執行主席）</w:t>
            </w:r>
          </w:p>
          <w:p w14:paraId="0DC7862F" w14:textId="77777777" w:rsidR="00F21423" w:rsidRPr="007213EC" w:rsidRDefault="00F21423" w:rsidP="00F21423">
            <w:pPr>
              <w:pStyle w:val="BodyText"/>
              <w:kinsoku w:val="0"/>
              <w:overflowPunct w:val="0"/>
              <w:spacing w:line="321" w:lineRule="exact"/>
              <w:ind w:left="206"/>
              <w:rPr>
                <w:rFonts w:ascii="Times New Roman" w:eastAsiaTheme="minorEastAsia" w:cs="Times New Roman"/>
                <w:color w:val="221E1F"/>
                <w:spacing w:val="-2"/>
                <w:sz w:val="24"/>
                <w:szCs w:val="24"/>
              </w:rPr>
            </w:pPr>
            <w:r w:rsidRPr="007213EC">
              <w:rPr>
                <w:rFonts w:ascii="Times New Roman" w:eastAsiaTheme="minorEastAsia" w:cs="Times New Roman"/>
                <w:color w:val="221E1F"/>
                <w:spacing w:val="-2"/>
                <w:sz w:val="24"/>
                <w:szCs w:val="24"/>
              </w:rPr>
              <w:t>許永權先生</w:t>
            </w:r>
          </w:p>
          <w:p w14:paraId="3A736ECC" w14:textId="77777777" w:rsidR="00F21423" w:rsidRPr="007213EC" w:rsidRDefault="00F21423" w:rsidP="00F21423">
            <w:pPr>
              <w:pStyle w:val="BodyText"/>
              <w:kinsoku w:val="0"/>
              <w:overflowPunct w:val="0"/>
              <w:spacing w:line="321" w:lineRule="exact"/>
              <w:ind w:left="206"/>
              <w:rPr>
                <w:rFonts w:ascii="Times New Roman" w:eastAsiaTheme="minorEastAsia" w:cs="Times New Roman"/>
                <w:sz w:val="24"/>
                <w:szCs w:val="24"/>
              </w:rPr>
            </w:pPr>
            <w:r w:rsidRPr="007213EC">
              <w:rPr>
                <w:rFonts w:ascii="Times New Roman" w:eastAsiaTheme="minorEastAsia" w:cs="Times New Roman"/>
                <w:color w:val="221E1F"/>
                <w:spacing w:val="-2"/>
                <w:sz w:val="24"/>
                <w:szCs w:val="24"/>
              </w:rPr>
              <w:t>楊振宇先生（副主席）</w:t>
            </w:r>
          </w:p>
        </w:tc>
      </w:tr>
      <w:tr w:rsidR="00F21423" w:rsidRPr="007213EC" w14:paraId="1E64E884" w14:textId="77777777" w:rsidTr="00F21423">
        <w:tc>
          <w:tcPr>
            <w:tcW w:w="10346" w:type="dxa"/>
          </w:tcPr>
          <w:p w14:paraId="0E955A31" w14:textId="77777777" w:rsidR="00F21423" w:rsidRDefault="00F21423">
            <w:pPr>
              <w:pStyle w:val="BodyText"/>
              <w:kinsoku w:val="0"/>
              <w:overflowPunct w:val="0"/>
              <w:spacing w:before="12"/>
              <w:rPr>
                <w:rFonts w:ascii="Times New Roman" w:eastAsiaTheme="minorEastAsia" w:cs="Times New Roman"/>
                <w:sz w:val="24"/>
                <w:szCs w:val="24"/>
              </w:rPr>
            </w:pPr>
          </w:p>
          <w:p w14:paraId="1C0C494E" w14:textId="77777777" w:rsidR="001024D2" w:rsidRPr="007213EC" w:rsidRDefault="001024D2">
            <w:pPr>
              <w:pStyle w:val="BodyText"/>
              <w:kinsoku w:val="0"/>
              <w:overflowPunct w:val="0"/>
              <w:spacing w:before="12"/>
              <w:rPr>
                <w:rFonts w:ascii="Times New Roman" w:eastAsiaTheme="minorEastAsia" w:cs="Times New Roman"/>
                <w:sz w:val="24"/>
                <w:szCs w:val="24"/>
              </w:rPr>
            </w:pPr>
          </w:p>
        </w:tc>
      </w:tr>
      <w:tr w:rsidR="00F21423" w:rsidRPr="007213EC" w14:paraId="3D0740A0" w14:textId="77777777" w:rsidTr="00F21423">
        <w:tc>
          <w:tcPr>
            <w:tcW w:w="10346" w:type="dxa"/>
          </w:tcPr>
          <w:p w14:paraId="012B256E" w14:textId="77777777" w:rsidR="00F21423" w:rsidRDefault="00F21423" w:rsidP="00F21423">
            <w:pPr>
              <w:pStyle w:val="BodyText"/>
              <w:kinsoku w:val="0"/>
              <w:overflowPunct w:val="0"/>
              <w:spacing w:line="306" w:lineRule="exact"/>
              <w:ind w:left="206"/>
              <w:rPr>
                <w:rFonts w:ascii="Times New Roman" w:eastAsiaTheme="minorEastAsia" w:cs="Times New Roman"/>
                <w:b/>
                <w:bCs/>
                <w:color w:val="221E1F"/>
                <w:spacing w:val="-10"/>
                <w:sz w:val="24"/>
                <w:szCs w:val="24"/>
                <w:lang w:eastAsia="en-US"/>
              </w:rPr>
            </w:pPr>
            <w:r w:rsidRPr="007213EC">
              <w:rPr>
                <w:rFonts w:ascii="Times New Roman" w:eastAsiaTheme="minorEastAsia" w:cs="Times New Roman"/>
                <w:b/>
                <w:bCs/>
                <w:color w:val="221E1F"/>
                <w:spacing w:val="-10"/>
                <w:sz w:val="24"/>
                <w:szCs w:val="24"/>
                <w:lang w:eastAsia="en-US"/>
              </w:rPr>
              <w:t>獨立非執行董事：</w:t>
            </w:r>
          </w:p>
          <w:p w14:paraId="2038C5C1" w14:textId="77777777" w:rsidR="00EC5F06" w:rsidRPr="007213EC" w:rsidRDefault="00EC5F06" w:rsidP="00F21423">
            <w:pPr>
              <w:pStyle w:val="BodyText"/>
              <w:kinsoku w:val="0"/>
              <w:overflowPunct w:val="0"/>
              <w:spacing w:line="306" w:lineRule="exact"/>
              <w:ind w:left="206"/>
              <w:rPr>
                <w:rFonts w:ascii="Times New Roman" w:eastAsiaTheme="minorEastAsia" w:cs="Times New Roman"/>
                <w:b/>
                <w:bCs/>
                <w:color w:val="221E1F"/>
                <w:spacing w:val="-10"/>
                <w:sz w:val="24"/>
                <w:szCs w:val="24"/>
                <w:lang w:eastAsia="en-US"/>
              </w:rPr>
            </w:pPr>
          </w:p>
        </w:tc>
      </w:tr>
      <w:tr w:rsidR="00F21423" w:rsidRPr="007213EC" w14:paraId="6893C417" w14:textId="77777777" w:rsidTr="00F21423">
        <w:tc>
          <w:tcPr>
            <w:tcW w:w="10346" w:type="dxa"/>
          </w:tcPr>
          <w:p w14:paraId="5A4706DA" w14:textId="77777777" w:rsidR="00F21423" w:rsidRPr="007213EC" w:rsidRDefault="00F21423" w:rsidP="00F21423">
            <w:pPr>
              <w:pStyle w:val="BodyText"/>
              <w:kinsoku w:val="0"/>
              <w:overflowPunct w:val="0"/>
              <w:spacing w:line="321" w:lineRule="exact"/>
              <w:ind w:left="206"/>
              <w:rPr>
                <w:rFonts w:ascii="Times New Roman" w:eastAsiaTheme="minorEastAsia" w:cs="Times New Roman"/>
                <w:color w:val="221E1F"/>
                <w:spacing w:val="-2"/>
                <w:sz w:val="24"/>
                <w:szCs w:val="24"/>
                <w:lang w:eastAsia="en-US"/>
              </w:rPr>
            </w:pPr>
            <w:r w:rsidRPr="007213EC">
              <w:rPr>
                <w:rFonts w:ascii="Times New Roman" w:eastAsiaTheme="minorEastAsia" w:cs="Times New Roman"/>
                <w:color w:val="221E1F"/>
                <w:spacing w:val="-2"/>
                <w:sz w:val="24"/>
                <w:szCs w:val="24"/>
                <w:lang w:eastAsia="en-US"/>
              </w:rPr>
              <w:t>William Robert Majcher</w:t>
            </w:r>
            <w:r w:rsidR="00547FCA" w:rsidRPr="007213EC">
              <w:rPr>
                <w:rFonts w:ascii="Times New Roman" w:eastAsiaTheme="minorEastAsia" w:cs="Times New Roman"/>
                <w:color w:val="221E1F"/>
                <w:spacing w:val="-2"/>
                <w:sz w:val="24"/>
                <w:szCs w:val="24"/>
                <w:lang w:eastAsia="en-US"/>
              </w:rPr>
              <w:t xml:space="preserve"> </w:t>
            </w:r>
            <w:r w:rsidRPr="007213EC">
              <w:rPr>
                <w:rFonts w:ascii="Times New Roman" w:eastAsiaTheme="minorEastAsia" w:cs="Times New Roman"/>
                <w:color w:val="221E1F"/>
                <w:spacing w:val="-2"/>
                <w:sz w:val="24"/>
                <w:szCs w:val="24"/>
                <w:lang w:eastAsia="en-US"/>
              </w:rPr>
              <w:t>先生</w:t>
            </w:r>
            <w:r w:rsidRPr="007213EC">
              <w:rPr>
                <w:rFonts w:ascii="Times New Roman" w:eastAsiaTheme="minorEastAsia" w:cs="Times New Roman"/>
                <w:color w:val="221E1F"/>
                <w:spacing w:val="-2"/>
                <w:sz w:val="24"/>
                <w:szCs w:val="24"/>
                <w:lang w:eastAsia="en-US"/>
              </w:rPr>
              <w:t xml:space="preserve"> </w:t>
            </w:r>
          </w:p>
          <w:p w14:paraId="71DEB308" w14:textId="77777777" w:rsidR="00F21423" w:rsidRPr="007213EC" w:rsidRDefault="00F21423" w:rsidP="00F21423">
            <w:pPr>
              <w:pStyle w:val="BodyText"/>
              <w:kinsoku w:val="0"/>
              <w:overflowPunct w:val="0"/>
              <w:spacing w:line="321" w:lineRule="exact"/>
              <w:ind w:left="206"/>
              <w:rPr>
                <w:rFonts w:ascii="Times New Roman" w:eastAsiaTheme="minorEastAsia" w:cs="Times New Roman"/>
                <w:color w:val="221E1F"/>
                <w:spacing w:val="-2"/>
                <w:sz w:val="24"/>
                <w:szCs w:val="24"/>
              </w:rPr>
            </w:pPr>
            <w:r w:rsidRPr="007213EC">
              <w:rPr>
                <w:rFonts w:ascii="Times New Roman" w:eastAsiaTheme="minorEastAsia" w:cs="Times New Roman"/>
                <w:color w:val="221E1F"/>
                <w:spacing w:val="-2"/>
                <w:sz w:val="24"/>
                <w:szCs w:val="24"/>
              </w:rPr>
              <w:t>何力鈞先生</w:t>
            </w:r>
            <w:r w:rsidRPr="007213EC">
              <w:rPr>
                <w:rFonts w:ascii="Times New Roman" w:eastAsiaTheme="minorEastAsia" w:cs="Times New Roman"/>
                <w:color w:val="221E1F"/>
                <w:spacing w:val="-2"/>
                <w:sz w:val="24"/>
                <w:szCs w:val="24"/>
              </w:rPr>
              <w:t xml:space="preserve"> </w:t>
            </w:r>
          </w:p>
          <w:p w14:paraId="078731F2" w14:textId="77777777" w:rsidR="00F21423" w:rsidRPr="007213EC" w:rsidRDefault="00F21423" w:rsidP="00F21423">
            <w:pPr>
              <w:pStyle w:val="BodyText"/>
              <w:kinsoku w:val="0"/>
              <w:overflowPunct w:val="0"/>
              <w:spacing w:line="321" w:lineRule="exact"/>
              <w:ind w:left="206"/>
              <w:rPr>
                <w:rFonts w:ascii="Times New Roman" w:eastAsiaTheme="minorEastAsia" w:cs="Times New Roman"/>
                <w:sz w:val="24"/>
                <w:szCs w:val="24"/>
              </w:rPr>
            </w:pPr>
            <w:r w:rsidRPr="007213EC">
              <w:rPr>
                <w:rFonts w:ascii="Times New Roman" w:eastAsiaTheme="minorEastAsia" w:cs="Times New Roman"/>
                <w:color w:val="221E1F"/>
                <w:spacing w:val="-2"/>
                <w:sz w:val="24"/>
                <w:szCs w:val="24"/>
              </w:rPr>
              <w:t>劉栢堅先生</w:t>
            </w:r>
          </w:p>
        </w:tc>
      </w:tr>
    </w:tbl>
    <w:p w14:paraId="07D68285" w14:textId="77777777" w:rsidR="00F21423" w:rsidRPr="007213EC" w:rsidRDefault="00F21423">
      <w:pPr>
        <w:pStyle w:val="BodyText"/>
        <w:kinsoku w:val="0"/>
        <w:overflowPunct w:val="0"/>
        <w:spacing w:before="12"/>
        <w:rPr>
          <w:rFonts w:ascii="Times New Roman" w:eastAsiaTheme="minorEastAsia" w:cs="Times New Roman"/>
          <w:sz w:val="24"/>
          <w:szCs w:val="24"/>
        </w:rPr>
      </w:pPr>
    </w:p>
    <w:p w14:paraId="53B8F0BE" w14:textId="77777777" w:rsidR="00AE0336" w:rsidRPr="007213EC" w:rsidRDefault="00AE0336" w:rsidP="00F21423">
      <w:pPr>
        <w:pStyle w:val="BodyText"/>
        <w:spacing w:line="295" w:lineRule="auto"/>
        <w:ind w:left="290" w:right="221"/>
        <w:jc w:val="both"/>
        <w:rPr>
          <w:rFonts w:ascii="Times New Roman" w:eastAsiaTheme="minorEastAsia" w:cs="Times New Roman"/>
          <w:i/>
          <w:iCs/>
          <w:color w:val="231F20"/>
          <w:sz w:val="24"/>
          <w:szCs w:val="24"/>
        </w:rPr>
      </w:pPr>
    </w:p>
    <w:p w14:paraId="78F882DC" w14:textId="77777777" w:rsidR="00B31355" w:rsidRPr="007213EC" w:rsidRDefault="00B31355" w:rsidP="00F21423">
      <w:pPr>
        <w:pStyle w:val="BodyText"/>
        <w:spacing w:line="295" w:lineRule="auto"/>
        <w:ind w:left="290" w:right="221"/>
        <w:jc w:val="both"/>
        <w:rPr>
          <w:rFonts w:ascii="Times New Roman" w:eastAsiaTheme="minorEastAsia" w:cs="Times New Roman"/>
          <w:i/>
          <w:iCs/>
          <w:color w:val="231F20"/>
          <w:sz w:val="24"/>
          <w:szCs w:val="24"/>
        </w:rPr>
      </w:pPr>
      <w:r w:rsidRPr="007213EC">
        <w:rPr>
          <w:rFonts w:ascii="Times New Roman" w:eastAsiaTheme="minorEastAsia" w:cs="Times New Roman"/>
          <w:i/>
          <w:iCs/>
          <w:color w:val="231F20"/>
          <w:sz w:val="24"/>
          <w:szCs w:val="24"/>
        </w:rPr>
        <w:t>本公告的資料乃遵照《</w:t>
      </w:r>
      <w:r w:rsidRPr="007213EC">
        <w:rPr>
          <w:rFonts w:ascii="Times New Roman" w:eastAsiaTheme="minorEastAsia" w:cs="Times New Roman"/>
          <w:i/>
          <w:iCs/>
          <w:color w:val="231F20"/>
          <w:sz w:val="24"/>
          <w:szCs w:val="24"/>
        </w:rPr>
        <w:t xml:space="preserve"> </w:t>
      </w:r>
      <w:r w:rsidRPr="007213EC">
        <w:rPr>
          <w:rFonts w:ascii="Times New Roman" w:eastAsiaTheme="minorEastAsia" w:cs="Times New Roman"/>
          <w:i/>
          <w:iCs/>
          <w:color w:val="231F20"/>
          <w:sz w:val="24"/>
          <w:szCs w:val="24"/>
        </w:rPr>
        <w:t>香港聯合交易所有限公司</w:t>
      </w:r>
      <w:r w:rsidRPr="007213EC">
        <w:rPr>
          <w:rFonts w:ascii="Times New Roman" w:eastAsiaTheme="minorEastAsia" w:cs="Times New Roman"/>
          <w:i/>
          <w:iCs/>
          <w:color w:val="231F20"/>
          <w:sz w:val="24"/>
          <w:szCs w:val="24"/>
        </w:rPr>
        <w:t xml:space="preserve"> G E M </w:t>
      </w:r>
      <w:r w:rsidRPr="007213EC">
        <w:rPr>
          <w:rFonts w:ascii="Times New Roman" w:eastAsiaTheme="minorEastAsia" w:cs="Times New Roman"/>
          <w:i/>
          <w:iCs/>
          <w:color w:val="231F20"/>
          <w:sz w:val="24"/>
          <w:szCs w:val="24"/>
        </w:rPr>
        <w:t>證券上市規則》</w:t>
      </w:r>
      <w:r w:rsidRPr="007213EC">
        <w:rPr>
          <w:rFonts w:ascii="Times New Roman" w:eastAsiaTheme="minorEastAsia" w:cs="Times New Roman"/>
          <w:i/>
          <w:iCs/>
          <w:color w:val="231F20"/>
          <w:sz w:val="24"/>
          <w:szCs w:val="24"/>
        </w:rPr>
        <w:t xml:space="preserve"> </w:t>
      </w:r>
      <w:r w:rsidRPr="007213EC">
        <w:rPr>
          <w:rFonts w:ascii="Times New Roman" w:eastAsiaTheme="minorEastAsia" w:cs="Times New Roman"/>
          <w:i/>
          <w:iCs/>
          <w:color w:val="231F20"/>
          <w:sz w:val="24"/>
          <w:szCs w:val="24"/>
        </w:rPr>
        <w:t>而刊載，</w:t>
      </w:r>
      <w:r w:rsidRPr="007213EC">
        <w:rPr>
          <w:rFonts w:ascii="Times New Roman" w:eastAsiaTheme="minorEastAsia" w:cs="Times New Roman"/>
          <w:i/>
          <w:iCs/>
          <w:color w:val="231F20"/>
          <w:sz w:val="24"/>
          <w:szCs w:val="24"/>
        </w:rPr>
        <w:t xml:space="preserve"> </w:t>
      </w:r>
      <w:r w:rsidRPr="007213EC">
        <w:rPr>
          <w:rFonts w:ascii="Times New Roman" w:eastAsiaTheme="minorEastAsia" w:cs="Times New Roman"/>
          <w:i/>
          <w:iCs/>
          <w:color w:val="231F20"/>
          <w:sz w:val="24"/>
          <w:szCs w:val="24"/>
        </w:rPr>
        <w:t>旨在提供有關本公司的資料，</w:t>
      </w:r>
      <w:r w:rsidRPr="007213EC">
        <w:rPr>
          <w:rFonts w:ascii="Times New Roman" w:eastAsiaTheme="minorEastAsia" w:cs="Times New Roman"/>
          <w:i/>
          <w:iCs/>
          <w:color w:val="231F20"/>
          <w:sz w:val="24"/>
          <w:szCs w:val="24"/>
        </w:rPr>
        <w:t xml:space="preserve"> </w:t>
      </w:r>
      <w:r w:rsidRPr="007213EC">
        <w:rPr>
          <w:rFonts w:ascii="Times New Roman" w:eastAsiaTheme="minorEastAsia" w:cs="Times New Roman"/>
          <w:i/>
          <w:iCs/>
          <w:color w:val="231F20"/>
          <w:sz w:val="24"/>
          <w:szCs w:val="24"/>
        </w:rPr>
        <w:t>董事願就本公告的資料共同及個別地承擔全部責任。董事在作出一切合理查詢後，</w:t>
      </w:r>
      <w:r w:rsidRPr="007213EC">
        <w:rPr>
          <w:rFonts w:ascii="Times New Roman" w:eastAsiaTheme="minorEastAsia" w:cs="Times New Roman"/>
          <w:i/>
          <w:iCs/>
          <w:color w:val="231F20"/>
          <w:sz w:val="24"/>
          <w:szCs w:val="24"/>
        </w:rPr>
        <w:t xml:space="preserve"> </w:t>
      </w:r>
      <w:r w:rsidRPr="007213EC">
        <w:rPr>
          <w:rFonts w:ascii="Times New Roman" w:eastAsiaTheme="minorEastAsia" w:cs="Times New Roman"/>
          <w:i/>
          <w:iCs/>
          <w:color w:val="231F20"/>
          <w:sz w:val="24"/>
          <w:szCs w:val="24"/>
        </w:rPr>
        <w:t>確認就其所知及所信，</w:t>
      </w:r>
      <w:r w:rsidRPr="007213EC">
        <w:rPr>
          <w:rFonts w:ascii="Times New Roman" w:eastAsiaTheme="minorEastAsia" w:cs="Times New Roman"/>
          <w:i/>
          <w:iCs/>
          <w:color w:val="231F20"/>
          <w:sz w:val="24"/>
          <w:szCs w:val="24"/>
        </w:rPr>
        <w:t xml:space="preserve"> </w:t>
      </w:r>
      <w:r w:rsidRPr="007213EC">
        <w:rPr>
          <w:rFonts w:ascii="Times New Roman" w:eastAsiaTheme="minorEastAsia" w:cs="Times New Roman"/>
          <w:i/>
          <w:iCs/>
          <w:color w:val="231F20"/>
          <w:sz w:val="24"/>
          <w:szCs w:val="24"/>
        </w:rPr>
        <w:t>本公告所載資料在各重要方面均屬準確完備，</w:t>
      </w:r>
      <w:r w:rsidRPr="007213EC">
        <w:rPr>
          <w:rFonts w:ascii="Times New Roman" w:eastAsiaTheme="minorEastAsia" w:cs="Times New Roman"/>
          <w:i/>
          <w:iCs/>
          <w:color w:val="231F20"/>
          <w:sz w:val="24"/>
          <w:szCs w:val="24"/>
        </w:rPr>
        <w:t xml:space="preserve"> </w:t>
      </w:r>
      <w:r w:rsidRPr="007213EC">
        <w:rPr>
          <w:rFonts w:ascii="Times New Roman" w:eastAsiaTheme="minorEastAsia" w:cs="Times New Roman"/>
          <w:i/>
          <w:iCs/>
          <w:color w:val="231F20"/>
          <w:sz w:val="24"/>
          <w:szCs w:val="24"/>
        </w:rPr>
        <w:t>沒有誤導或欺詐成分，</w:t>
      </w:r>
      <w:r w:rsidRPr="007213EC">
        <w:rPr>
          <w:rFonts w:ascii="Times New Roman" w:eastAsiaTheme="minorEastAsia" w:cs="Times New Roman"/>
          <w:i/>
          <w:iCs/>
          <w:color w:val="231F20"/>
          <w:sz w:val="24"/>
          <w:szCs w:val="24"/>
        </w:rPr>
        <w:t xml:space="preserve"> </w:t>
      </w:r>
      <w:r w:rsidRPr="007213EC">
        <w:rPr>
          <w:rFonts w:ascii="Times New Roman" w:eastAsiaTheme="minorEastAsia" w:cs="Times New Roman"/>
          <w:i/>
          <w:iCs/>
          <w:color w:val="231F20"/>
          <w:sz w:val="24"/>
          <w:szCs w:val="24"/>
        </w:rPr>
        <w:t>且並無遺漏其他事項，</w:t>
      </w:r>
      <w:r w:rsidRPr="007213EC">
        <w:rPr>
          <w:rFonts w:ascii="Times New Roman" w:eastAsiaTheme="minorEastAsia" w:cs="Times New Roman"/>
          <w:i/>
          <w:iCs/>
          <w:color w:val="231F20"/>
          <w:sz w:val="24"/>
          <w:szCs w:val="24"/>
        </w:rPr>
        <w:t xml:space="preserve"> </w:t>
      </w:r>
      <w:r w:rsidRPr="007213EC">
        <w:rPr>
          <w:rFonts w:ascii="Times New Roman" w:eastAsiaTheme="minorEastAsia" w:cs="Times New Roman"/>
          <w:i/>
          <w:iCs/>
          <w:color w:val="231F20"/>
          <w:sz w:val="24"/>
          <w:szCs w:val="24"/>
        </w:rPr>
        <w:t>足以令致本公告或其所載任何陳述產生誤導。</w:t>
      </w:r>
    </w:p>
    <w:p w14:paraId="70C129F4" w14:textId="77777777" w:rsidR="00F21423" w:rsidRPr="007213EC" w:rsidRDefault="00F21423" w:rsidP="00F21423">
      <w:pPr>
        <w:pStyle w:val="BodyText"/>
        <w:spacing w:line="295" w:lineRule="auto"/>
        <w:ind w:left="290" w:right="221"/>
        <w:jc w:val="both"/>
        <w:rPr>
          <w:rFonts w:ascii="Times New Roman" w:eastAsiaTheme="minorEastAsia" w:cs="Times New Roman"/>
          <w:i/>
          <w:iCs/>
          <w:color w:val="231F20"/>
          <w:sz w:val="24"/>
          <w:szCs w:val="24"/>
        </w:rPr>
      </w:pPr>
    </w:p>
    <w:p w14:paraId="3D73758B" w14:textId="77777777" w:rsidR="00B31355" w:rsidRPr="007213EC" w:rsidRDefault="00B31355" w:rsidP="00F21423">
      <w:pPr>
        <w:pStyle w:val="BodyText"/>
        <w:spacing w:line="295" w:lineRule="auto"/>
        <w:ind w:left="290" w:right="221"/>
        <w:jc w:val="both"/>
        <w:rPr>
          <w:rFonts w:ascii="Times New Roman" w:eastAsiaTheme="minorEastAsia" w:cs="Times New Roman"/>
          <w:i/>
          <w:iCs/>
          <w:color w:val="231F20"/>
          <w:sz w:val="24"/>
          <w:szCs w:val="24"/>
        </w:rPr>
      </w:pPr>
      <w:r w:rsidRPr="007213EC">
        <w:rPr>
          <w:rFonts w:ascii="Times New Roman" w:eastAsiaTheme="minorEastAsia" w:cs="Times New Roman"/>
          <w:i/>
          <w:iCs/>
          <w:color w:val="231F20"/>
          <w:sz w:val="24"/>
          <w:szCs w:val="24"/>
        </w:rPr>
        <w:t>本公告將由刊登之日起至少七日於香港聯合交易所有限公司網站</w:t>
      </w:r>
      <w:r w:rsidRPr="007213EC">
        <w:rPr>
          <w:rFonts w:ascii="Times New Roman" w:eastAsiaTheme="minorEastAsia" w:cs="Times New Roman"/>
          <w:i/>
          <w:iCs/>
          <w:color w:val="231F20"/>
          <w:sz w:val="24"/>
          <w:szCs w:val="24"/>
        </w:rPr>
        <w:t xml:space="preserve"> </w:t>
      </w:r>
      <w:hyperlink r:id="rId8" w:history="1">
        <w:r w:rsidRPr="007213EC">
          <w:rPr>
            <w:rFonts w:ascii="Times New Roman" w:eastAsiaTheme="minorEastAsia" w:cs="Times New Roman"/>
            <w:i/>
            <w:iCs/>
            <w:color w:val="231F20"/>
            <w:sz w:val="24"/>
            <w:szCs w:val="24"/>
          </w:rPr>
          <w:t>www.hkexnews.hk</w:t>
        </w:r>
      </w:hyperlink>
      <w:r w:rsidRPr="007213EC">
        <w:rPr>
          <w:rFonts w:ascii="Times New Roman" w:eastAsiaTheme="minorEastAsia" w:cs="Times New Roman"/>
          <w:i/>
          <w:iCs/>
          <w:color w:val="231F20"/>
          <w:sz w:val="24"/>
          <w:szCs w:val="24"/>
        </w:rPr>
        <w:t>「最新上市</w:t>
      </w:r>
      <w:r w:rsidRPr="007213EC">
        <w:rPr>
          <w:rFonts w:ascii="Times New Roman" w:eastAsiaTheme="minorEastAsia" w:cs="Times New Roman"/>
          <w:i/>
          <w:iCs/>
          <w:color w:val="231F20"/>
          <w:sz w:val="24"/>
          <w:szCs w:val="24"/>
        </w:rPr>
        <w:lastRenderedPageBreak/>
        <w:t>公司公告」網頁刊載。本公告亦將於本公司網站</w:t>
      </w:r>
      <w:r w:rsidR="00F21423" w:rsidRPr="007213EC">
        <w:rPr>
          <w:rFonts w:ascii="Times New Roman" w:eastAsiaTheme="minorEastAsia" w:cs="Times New Roman"/>
          <w:i/>
          <w:iCs/>
          <w:color w:val="231F20"/>
          <w:sz w:val="24"/>
          <w:szCs w:val="24"/>
        </w:rPr>
        <w:t xml:space="preserve"> </w:t>
      </w:r>
      <w:hyperlink r:id="rId9" w:history="1">
        <w:r w:rsidRPr="007213EC">
          <w:rPr>
            <w:rFonts w:ascii="Times New Roman" w:eastAsiaTheme="minorEastAsia" w:cs="Times New Roman"/>
            <w:i/>
            <w:iCs/>
            <w:color w:val="231F20"/>
            <w:sz w:val="24"/>
            <w:szCs w:val="24"/>
          </w:rPr>
          <w:t>www.hatcher-group.com</w:t>
        </w:r>
        <w:r w:rsidRPr="007213EC">
          <w:rPr>
            <w:rFonts w:ascii="Times New Roman" w:eastAsiaTheme="minorEastAsia" w:cs="Times New Roman"/>
            <w:i/>
            <w:iCs/>
            <w:color w:val="231F20"/>
            <w:sz w:val="24"/>
            <w:szCs w:val="24"/>
          </w:rPr>
          <w:t>刊載。</w:t>
        </w:r>
      </w:hyperlink>
    </w:p>
    <w:p w14:paraId="117131BC" w14:textId="77777777" w:rsidR="00B31355" w:rsidRPr="007213EC" w:rsidRDefault="00B31355">
      <w:pPr>
        <w:pStyle w:val="BodyText"/>
        <w:kinsoku w:val="0"/>
        <w:overflowPunct w:val="0"/>
        <w:spacing w:before="11"/>
        <w:rPr>
          <w:rFonts w:ascii="Times New Roman" w:eastAsiaTheme="minorEastAsia" w:cs="Times New Roman"/>
          <w:i/>
          <w:iCs/>
          <w:color w:val="231F20"/>
          <w:sz w:val="24"/>
          <w:szCs w:val="24"/>
        </w:rPr>
      </w:pPr>
    </w:p>
    <w:p w14:paraId="3E8DC3C7" w14:textId="77777777" w:rsidR="00B31355" w:rsidRPr="007213EC" w:rsidRDefault="00B31355" w:rsidP="00F21423">
      <w:pPr>
        <w:pStyle w:val="BodyText"/>
        <w:spacing w:line="295" w:lineRule="auto"/>
        <w:ind w:left="290" w:right="221"/>
        <w:jc w:val="both"/>
        <w:rPr>
          <w:rFonts w:ascii="Times New Roman" w:eastAsiaTheme="minorEastAsia" w:cs="Times New Roman"/>
          <w:i/>
          <w:iCs/>
          <w:color w:val="231F20"/>
          <w:sz w:val="24"/>
          <w:szCs w:val="24"/>
        </w:rPr>
      </w:pPr>
      <w:r w:rsidRPr="007213EC">
        <w:rPr>
          <w:rFonts w:ascii="Times New Roman" w:eastAsiaTheme="minorEastAsia" w:cs="Times New Roman"/>
          <w:i/>
          <w:iCs/>
          <w:color w:val="231F20"/>
          <w:sz w:val="24"/>
          <w:szCs w:val="24"/>
        </w:rPr>
        <w:t xml:space="preserve">* </w:t>
      </w:r>
      <w:r w:rsidRPr="007213EC">
        <w:rPr>
          <w:rFonts w:ascii="Times New Roman" w:eastAsiaTheme="minorEastAsia" w:cs="Times New Roman"/>
          <w:i/>
          <w:iCs/>
          <w:color w:val="231F20"/>
          <w:sz w:val="24"/>
          <w:szCs w:val="24"/>
        </w:rPr>
        <w:t>僅供識別</w:t>
      </w:r>
    </w:p>
    <w:sectPr w:rsidR="00B31355" w:rsidRPr="007213EC" w:rsidSect="000A1CAB">
      <w:footerReference w:type="default" r:id="rId10"/>
      <w:type w:val="continuous"/>
      <w:pgSz w:w="11900" w:h="16840"/>
      <w:pgMar w:top="879" w:right="805" w:bottom="278" w:left="80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5E8A8" w14:textId="77777777" w:rsidR="000A1CAB" w:rsidRDefault="000A1CAB" w:rsidP="00F412E7">
      <w:r>
        <w:separator/>
      </w:r>
    </w:p>
  </w:endnote>
  <w:endnote w:type="continuationSeparator" w:id="0">
    <w:p w14:paraId="11BA7CE7" w14:textId="77777777" w:rsidR="000A1CAB" w:rsidRDefault="000A1CAB" w:rsidP="00F4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774E" w14:textId="170B1165" w:rsidR="00473BBD" w:rsidRDefault="00CC093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1369E4A" wp14:editId="3D8449AC">
              <wp:simplePos x="0" y="0"/>
              <wp:positionH relativeFrom="page">
                <wp:posOffset>3431540</wp:posOffset>
              </wp:positionH>
              <wp:positionV relativeFrom="page">
                <wp:posOffset>10184130</wp:posOffset>
              </wp:positionV>
              <wp:extent cx="680720" cy="424815"/>
              <wp:effectExtent l="0" t="0" r="0" b="0"/>
              <wp:wrapNone/>
              <wp:docPr id="8902089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424815"/>
                      </a:xfrm>
                      <a:prstGeom prst="rect">
                        <a:avLst/>
                      </a:prstGeom>
                      <a:noFill/>
                      <a:ln>
                        <a:noFill/>
                      </a:ln>
                    </wps:spPr>
                    <wps:txbx>
                      <w:txbxContent>
                        <w:p w14:paraId="3D5E5C5D" w14:textId="77777777" w:rsidR="00473BBD" w:rsidRDefault="00473BBD" w:rsidP="00BD1184">
                          <w:pPr>
                            <w:pStyle w:val="BodyText"/>
                            <w:spacing w:before="10"/>
                            <w:ind w:left="20"/>
                            <w:jc w:val="center"/>
                          </w:pPr>
                          <w:r>
                            <w:rPr>
                              <w:color w:val="231F20"/>
                            </w:rPr>
                            <w:t>—</w:t>
                          </w:r>
                          <w:r>
                            <w:rPr>
                              <w:color w:val="231F20"/>
                              <w:spacing w:val="18"/>
                            </w:rPr>
                            <w:t xml:space="preserve"> </w:t>
                          </w:r>
                          <w:r>
                            <w:rPr>
                              <w:color w:val="231F20"/>
                            </w:rPr>
                            <w:fldChar w:fldCharType="begin"/>
                          </w:r>
                          <w:r>
                            <w:rPr>
                              <w:color w:val="231F20"/>
                            </w:rPr>
                            <w:instrText xml:space="preserve"> PAGE </w:instrText>
                          </w:r>
                          <w:r>
                            <w:rPr>
                              <w:color w:val="231F20"/>
                            </w:rPr>
                            <w:fldChar w:fldCharType="separate"/>
                          </w:r>
                          <w:r>
                            <w:rPr>
                              <w:color w:val="231F20"/>
                            </w:rPr>
                            <w:t>1</w:t>
                          </w:r>
                          <w:r>
                            <w:rPr>
                              <w:color w:val="231F20"/>
                            </w:rPr>
                            <w:fldChar w:fldCharType="end"/>
                          </w:r>
                          <w:r>
                            <w:rPr>
                              <w:color w:val="231F20"/>
                              <w:spacing w:val="18"/>
                            </w:rPr>
                            <w:t xml:space="preserve"> </w:t>
                          </w:r>
                          <w:r>
                            <w:rPr>
                              <w:color w:val="231F20"/>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69E4A" id="_x0000_t202" coordsize="21600,21600" o:spt="202" path="m,l,21600r21600,l21600,xe">
              <v:stroke joinstyle="miter"/>
              <v:path gradientshapeok="t" o:connecttype="rect"/>
            </v:shapetype>
            <v:shape id="Text Box 1" o:spid="_x0000_s1026" type="#_x0000_t202" style="position:absolute;margin-left:270.2pt;margin-top:801.9pt;width:53.6pt;height:3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" filled="f" stroked="f">
              <v:textbox inset="0,0,0,0">
                <w:txbxContent>
                  <w:p w14:paraId="3D5E5C5D" w14:textId="77777777" w:rsidR="00473BBD" w:rsidRDefault="00473BBD" w:rsidP="00BD1184">
                    <w:pPr>
                      <w:pStyle w:val="BodyText"/>
                      <w:spacing w:before="10"/>
                      <w:ind w:left="20"/>
                      <w:jc w:val="center"/>
                    </w:pPr>
                    <w:r>
                      <w:rPr>
                        <w:color w:val="231F20"/>
                      </w:rPr>
                      <w:t>—</w:t>
                    </w:r>
                    <w:r>
                      <w:rPr>
                        <w:color w:val="231F20"/>
                        <w:spacing w:val="18"/>
                      </w:rPr>
                      <w:t xml:space="preserve"> </w:t>
                    </w:r>
                    <w:r>
                      <w:rPr>
                        <w:color w:val="231F20"/>
                      </w:rPr>
                      <w:fldChar w:fldCharType="begin"/>
                    </w:r>
                    <w:r>
                      <w:rPr>
                        <w:color w:val="231F20"/>
                      </w:rPr>
                      <w:instrText xml:space="preserve"> PAGE </w:instrText>
                    </w:r>
                    <w:r>
                      <w:rPr>
                        <w:color w:val="231F20"/>
                      </w:rPr>
                      <w:fldChar w:fldCharType="separate"/>
                    </w:r>
                    <w:r>
                      <w:rPr>
                        <w:color w:val="231F20"/>
                      </w:rPr>
                      <w:t>1</w:t>
                    </w:r>
                    <w:r>
                      <w:rPr>
                        <w:color w:val="231F20"/>
                      </w:rPr>
                      <w:fldChar w:fldCharType="end"/>
                    </w:r>
                    <w:r>
                      <w:rPr>
                        <w:color w:val="231F20"/>
                        <w:spacing w:val="18"/>
                      </w:rPr>
                      <w:t xml:space="preserve"> </w:t>
                    </w:r>
                    <w:r>
                      <w:rPr>
                        <w:color w:val="231F20"/>
                        <w:spacing w:val="-1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9ACB3" w14:textId="77777777" w:rsidR="000A1CAB" w:rsidRDefault="000A1CAB" w:rsidP="00F412E7">
      <w:r>
        <w:separator/>
      </w:r>
    </w:p>
  </w:footnote>
  <w:footnote w:type="continuationSeparator" w:id="0">
    <w:p w14:paraId="2D9EC0A2" w14:textId="77777777" w:rsidR="000A1CAB" w:rsidRDefault="000A1CAB" w:rsidP="00F41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84E"/>
    <w:multiLevelType w:val="hybridMultilevel"/>
    <w:tmpl w:val="FFFFFFFF"/>
    <w:lvl w:ilvl="0" w:tplc="0C4AECD0">
      <w:start w:val="1"/>
      <w:numFmt w:val="lowerRoman"/>
      <w:lvlText w:val="(%1)"/>
      <w:lvlJc w:val="left"/>
      <w:pPr>
        <w:ind w:left="951" w:hanging="720"/>
      </w:pPr>
      <w:rPr>
        <w:rFonts w:cs="Times New Roman" w:hint="default"/>
        <w:b w:val="0"/>
      </w:rPr>
    </w:lvl>
    <w:lvl w:ilvl="1" w:tplc="04090019" w:tentative="1">
      <w:start w:val="1"/>
      <w:numFmt w:val="lowerLetter"/>
      <w:lvlText w:val="%2."/>
      <w:lvlJc w:val="left"/>
      <w:pPr>
        <w:ind w:left="1311" w:hanging="360"/>
      </w:pPr>
      <w:rPr>
        <w:rFonts w:cs="Times New Roman"/>
      </w:rPr>
    </w:lvl>
    <w:lvl w:ilvl="2" w:tplc="0409001B" w:tentative="1">
      <w:start w:val="1"/>
      <w:numFmt w:val="lowerRoman"/>
      <w:lvlText w:val="%3."/>
      <w:lvlJc w:val="right"/>
      <w:pPr>
        <w:ind w:left="2031" w:hanging="180"/>
      </w:pPr>
      <w:rPr>
        <w:rFonts w:cs="Times New Roman"/>
      </w:rPr>
    </w:lvl>
    <w:lvl w:ilvl="3" w:tplc="0409000F" w:tentative="1">
      <w:start w:val="1"/>
      <w:numFmt w:val="decimal"/>
      <w:lvlText w:val="%4."/>
      <w:lvlJc w:val="left"/>
      <w:pPr>
        <w:ind w:left="2751" w:hanging="360"/>
      </w:pPr>
      <w:rPr>
        <w:rFonts w:cs="Times New Roman"/>
      </w:rPr>
    </w:lvl>
    <w:lvl w:ilvl="4" w:tplc="04090019" w:tentative="1">
      <w:start w:val="1"/>
      <w:numFmt w:val="lowerLetter"/>
      <w:lvlText w:val="%5."/>
      <w:lvlJc w:val="left"/>
      <w:pPr>
        <w:ind w:left="3471" w:hanging="360"/>
      </w:pPr>
      <w:rPr>
        <w:rFonts w:cs="Times New Roman"/>
      </w:rPr>
    </w:lvl>
    <w:lvl w:ilvl="5" w:tplc="0409001B" w:tentative="1">
      <w:start w:val="1"/>
      <w:numFmt w:val="lowerRoman"/>
      <w:lvlText w:val="%6."/>
      <w:lvlJc w:val="right"/>
      <w:pPr>
        <w:ind w:left="4191" w:hanging="180"/>
      </w:pPr>
      <w:rPr>
        <w:rFonts w:cs="Times New Roman"/>
      </w:rPr>
    </w:lvl>
    <w:lvl w:ilvl="6" w:tplc="0409000F" w:tentative="1">
      <w:start w:val="1"/>
      <w:numFmt w:val="decimal"/>
      <w:lvlText w:val="%7."/>
      <w:lvlJc w:val="left"/>
      <w:pPr>
        <w:ind w:left="4911" w:hanging="360"/>
      </w:pPr>
      <w:rPr>
        <w:rFonts w:cs="Times New Roman"/>
      </w:rPr>
    </w:lvl>
    <w:lvl w:ilvl="7" w:tplc="04090019" w:tentative="1">
      <w:start w:val="1"/>
      <w:numFmt w:val="lowerLetter"/>
      <w:lvlText w:val="%8."/>
      <w:lvlJc w:val="left"/>
      <w:pPr>
        <w:ind w:left="5631" w:hanging="360"/>
      </w:pPr>
      <w:rPr>
        <w:rFonts w:cs="Times New Roman"/>
      </w:rPr>
    </w:lvl>
    <w:lvl w:ilvl="8" w:tplc="0409001B" w:tentative="1">
      <w:start w:val="1"/>
      <w:numFmt w:val="lowerRoman"/>
      <w:lvlText w:val="%9."/>
      <w:lvlJc w:val="right"/>
      <w:pPr>
        <w:ind w:left="6351" w:hanging="180"/>
      </w:pPr>
      <w:rPr>
        <w:rFonts w:cs="Times New Roman"/>
      </w:rPr>
    </w:lvl>
  </w:abstractNum>
  <w:abstractNum w:abstractNumId="1" w15:restartNumberingAfterBreak="0">
    <w:nsid w:val="04D62E80"/>
    <w:multiLevelType w:val="hybridMultilevel"/>
    <w:tmpl w:val="FFFFFFFF"/>
    <w:lvl w:ilvl="0" w:tplc="F68C0C30">
      <w:start w:val="1"/>
      <w:numFmt w:val="lowerRoman"/>
      <w:lvlText w:val="(%1)"/>
      <w:lvlJc w:val="left"/>
      <w:pPr>
        <w:ind w:left="886" w:hanging="720"/>
      </w:pPr>
      <w:rPr>
        <w:rFonts w:cs="Times New Roman" w:hint="default"/>
        <w:color w:val="231F20"/>
      </w:rPr>
    </w:lvl>
    <w:lvl w:ilvl="1" w:tplc="04090019" w:tentative="1">
      <w:start w:val="1"/>
      <w:numFmt w:val="lowerLetter"/>
      <w:lvlText w:val="%2."/>
      <w:lvlJc w:val="left"/>
      <w:pPr>
        <w:ind w:left="1246" w:hanging="360"/>
      </w:pPr>
      <w:rPr>
        <w:rFonts w:cs="Times New Roman"/>
      </w:rPr>
    </w:lvl>
    <w:lvl w:ilvl="2" w:tplc="0409001B" w:tentative="1">
      <w:start w:val="1"/>
      <w:numFmt w:val="lowerRoman"/>
      <w:lvlText w:val="%3."/>
      <w:lvlJc w:val="right"/>
      <w:pPr>
        <w:ind w:left="1966" w:hanging="180"/>
      </w:pPr>
      <w:rPr>
        <w:rFonts w:cs="Times New Roman"/>
      </w:rPr>
    </w:lvl>
    <w:lvl w:ilvl="3" w:tplc="0409000F" w:tentative="1">
      <w:start w:val="1"/>
      <w:numFmt w:val="decimal"/>
      <w:lvlText w:val="%4."/>
      <w:lvlJc w:val="left"/>
      <w:pPr>
        <w:ind w:left="2686" w:hanging="360"/>
      </w:pPr>
      <w:rPr>
        <w:rFonts w:cs="Times New Roman"/>
      </w:rPr>
    </w:lvl>
    <w:lvl w:ilvl="4" w:tplc="04090019" w:tentative="1">
      <w:start w:val="1"/>
      <w:numFmt w:val="lowerLetter"/>
      <w:lvlText w:val="%5."/>
      <w:lvlJc w:val="left"/>
      <w:pPr>
        <w:ind w:left="3406" w:hanging="360"/>
      </w:pPr>
      <w:rPr>
        <w:rFonts w:cs="Times New Roman"/>
      </w:rPr>
    </w:lvl>
    <w:lvl w:ilvl="5" w:tplc="0409001B" w:tentative="1">
      <w:start w:val="1"/>
      <w:numFmt w:val="lowerRoman"/>
      <w:lvlText w:val="%6."/>
      <w:lvlJc w:val="right"/>
      <w:pPr>
        <w:ind w:left="4126" w:hanging="180"/>
      </w:pPr>
      <w:rPr>
        <w:rFonts w:cs="Times New Roman"/>
      </w:rPr>
    </w:lvl>
    <w:lvl w:ilvl="6" w:tplc="0409000F" w:tentative="1">
      <w:start w:val="1"/>
      <w:numFmt w:val="decimal"/>
      <w:lvlText w:val="%7."/>
      <w:lvlJc w:val="left"/>
      <w:pPr>
        <w:ind w:left="4846" w:hanging="360"/>
      </w:pPr>
      <w:rPr>
        <w:rFonts w:cs="Times New Roman"/>
      </w:rPr>
    </w:lvl>
    <w:lvl w:ilvl="7" w:tplc="04090019" w:tentative="1">
      <w:start w:val="1"/>
      <w:numFmt w:val="lowerLetter"/>
      <w:lvlText w:val="%8."/>
      <w:lvlJc w:val="left"/>
      <w:pPr>
        <w:ind w:left="5566" w:hanging="360"/>
      </w:pPr>
      <w:rPr>
        <w:rFonts w:cs="Times New Roman"/>
      </w:rPr>
    </w:lvl>
    <w:lvl w:ilvl="8" w:tplc="0409001B" w:tentative="1">
      <w:start w:val="1"/>
      <w:numFmt w:val="lowerRoman"/>
      <w:lvlText w:val="%9."/>
      <w:lvlJc w:val="right"/>
      <w:pPr>
        <w:ind w:left="6286" w:hanging="180"/>
      </w:pPr>
      <w:rPr>
        <w:rFonts w:cs="Times New Roman"/>
      </w:rPr>
    </w:lvl>
  </w:abstractNum>
  <w:abstractNum w:abstractNumId="2" w15:restartNumberingAfterBreak="0">
    <w:nsid w:val="05507D80"/>
    <w:multiLevelType w:val="hybridMultilevel"/>
    <w:tmpl w:val="FFFFFFFF"/>
    <w:lvl w:ilvl="0" w:tplc="8FA638B4">
      <w:start w:val="1"/>
      <w:numFmt w:val="lowerRoman"/>
      <w:lvlText w:val="(%1)"/>
      <w:lvlJc w:val="left"/>
      <w:pPr>
        <w:ind w:left="1010" w:hanging="720"/>
      </w:pPr>
      <w:rPr>
        <w:rFonts w:ascii="Times New Roman" w:eastAsia="DengXi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8CF2BDB"/>
    <w:multiLevelType w:val="hybridMultilevel"/>
    <w:tmpl w:val="FFFFFFFF"/>
    <w:lvl w:ilvl="0" w:tplc="F68C0C30">
      <w:start w:val="1"/>
      <w:numFmt w:val="lowerRoman"/>
      <w:lvlText w:val="(%1)"/>
      <w:lvlJc w:val="left"/>
      <w:pPr>
        <w:ind w:left="1010" w:hanging="360"/>
      </w:pPr>
      <w:rPr>
        <w:rFonts w:cs="Times New Roman" w:hint="default"/>
        <w:color w:val="231F20"/>
      </w:rPr>
    </w:lvl>
    <w:lvl w:ilvl="1" w:tplc="04090019" w:tentative="1">
      <w:start w:val="1"/>
      <w:numFmt w:val="lowerLetter"/>
      <w:lvlText w:val="%2."/>
      <w:lvlJc w:val="left"/>
      <w:pPr>
        <w:ind w:left="1730" w:hanging="360"/>
      </w:pPr>
      <w:rPr>
        <w:rFonts w:cs="Times New Roman"/>
      </w:rPr>
    </w:lvl>
    <w:lvl w:ilvl="2" w:tplc="0409001B" w:tentative="1">
      <w:start w:val="1"/>
      <w:numFmt w:val="lowerRoman"/>
      <w:lvlText w:val="%3."/>
      <w:lvlJc w:val="right"/>
      <w:pPr>
        <w:ind w:left="2450" w:hanging="180"/>
      </w:pPr>
      <w:rPr>
        <w:rFonts w:cs="Times New Roman"/>
      </w:rPr>
    </w:lvl>
    <w:lvl w:ilvl="3" w:tplc="0409000F" w:tentative="1">
      <w:start w:val="1"/>
      <w:numFmt w:val="decimal"/>
      <w:lvlText w:val="%4."/>
      <w:lvlJc w:val="left"/>
      <w:pPr>
        <w:ind w:left="3170" w:hanging="360"/>
      </w:pPr>
      <w:rPr>
        <w:rFonts w:cs="Times New Roman"/>
      </w:rPr>
    </w:lvl>
    <w:lvl w:ilvl="4" w:tplc="04090019" w:tentative="1">
      <w:start w:val="1"/>
      <w:numFmt w:val="lowerLetter"/>
      <w:lvlText w:val="%5."/>
      <w:lvlJc w:val="left"/>
      <w:pPr>
        <w:ind w:left="3890" w:hanging="360"/>
      </w:pPr>
      <w:rPr>
        <w:rFonts w:cs="Times New Roman"/>
      </w:rPr>
    </w:lvl>
    <w:lvl w:ilvl="5" w:tplc="0409001B" w:tentative="1">
      <w:start w:val="1"/>
      <w:numFmt w:val="lowerRoman"/>
      <w:lvlText w:val="%6."/>
      <w:lvlJc w:val="right"/>
      <w:pPr>
        <w:ind w:left="4610" w:hanging="180"/>
      </w:pPr>
      <w:rPr>
        <w:rFonts w:cs="Times New Roman"/>
      </w:rPr>
    </w:lvl>
    <w:lvl w:ilvl="6" w:tplc="0409000F" w:tentative="1">
      <w:start w:val="1"/>
      <w:numFmt w:val="decimal"/>
      <w:lvlText w:val="%7."/>
      <w:lvlJc w:val="left"/>
      <w:pPr>
        <w:ind w:left="5330" w:hanging="360"/>
      </w:pPr>
      <w:rPr>
        <w:rFonts w:cs="Times New Roman"/>
      </w:rPr>
    </w:lvl>
    <w:lvl w:ilvl="7" w:tplc="04090019" w:tentative="1">
      <w:start w:val="1"/>
      <w:numFmt w:val="lowerLetter"/>
      <w:lvlText w:val="%8."/>
      <w:lvlJc w:val="left"/>
      <w:pPr>
        <w:ind w:left="6050" w:hanging="360"/>
      </w:pPr>
      <w:rPr>
        <w:rFonts w:cs="Times New Roman"/>
      </w:rPr>
    </w:lvl>
    <w:lvl w:ilvl="8" w:tplc="0409001B" w:tentative="1">
      <w:start w:val="1"/>
      <w:numFmt w:val="lowerRoman"/>
      <w:lvlText w:val="%9."/>
      <w:lvlJc w:val="right"/>
      <w:pPr>
        <w:ind w:left="6770" w:hanging="180"/>
      </w:pPr>
      <w:rPr>
        <w:rFonts w:cs="Times New Roman"/>
      </w:rPr>
    </w:lvl>
  </w:abstractNum>
  <w:abstractNum w:abstractNumId="4" w15:restartNumberingAfterBreak="0">
    <w:nsid w:val="13D76588"/>
    <w:multiLevelType w:val="hybridMultilevel"/>
    <w:tmpl w:val="FFFFFFFF"/>
    <w:lvl w:ilvl="0" w:tplc="0922A73A">
      <w:start w:val="1"/>
      <w:numFmt w:val="lowerRoman"/>
      <w:lvlText w:val="(%1)"/>
      <w:lvlJc w:val="left"/>
      <w:pPr>
        <w:ind w:left="733" w:hanging="567"/>
      </w:pPr>
      <w:rPr>
        <w:rFonts w:ascii="Times New Roman" w:eastAsia="Times New Roman" w:hAnsi="Times New Roman" w:cs="Times New Roman" w:hint="default"/>
        <w:b w:val="0"/>
        <w:bCs w:val="0"/>
        <w:i w:val="0"/>
        <w:iCs w:val="0"/>
        <w:color w:val="231F20"/>
        <w:spacing w:val="0"/>
        <w:w w:val="100"/>
        <w:sz w:val="24"/>
        <w:szCs w:val="24"/>
      </w:rPr>
    </w:lvl>
    <w:lvl w:ilvl="1" w:tplc="03EAA322">
      <w:start w:val="1"/>
      <w:numFmt w:val="decimal"/>
      <w:lvlText w:val="(%2)"/>
      <w:lvlJc w:val="left"/>
      <w:pPr>
        <w:ind w:left="733" w:hanging="567"/>
      </w:pPr>
      <w:rPr>
        <w:rFonts w:ascii="Times New Roman" w:eastAsia="Times New Roman" w:hAnsi="Times New Roman" w:cs="Times New Roman" w:hint="default"/>
        <w:b w:val="0"/>
        <w:bCs w:val="0"/>
        <w:i w:val="0"/>
        <w:iCs w:val="0"/>
        <w:color w:val="231F20"/>
        <w:spacing w:val="0"/>
        <w:w w:val="100"/>
        <w:sz w:val="24"/>
        <w:szCs w:val="24"/>
      </w:rPr>
    </w:lvl>
    <w:lvl w:ilvl="2" w:tplc="F384BF48">
      <w:numFmt w:val="bullet"/>
      <w:lvlText w:val="•"/>
      <w:lvlJc w:val="left"/>
      <w:pPr>
        <w:ind w:left="2805" w:hanging="567"/>
      </w:pPr>
      <w:rPr>
        <w:rFonts w:hint="default"/>
      </w:rPr>
    </w:lvl>
    <w:lvl w:ilvl="3" w:tplc="A6DA7404">
      <w:numFmt w:val="bullet"/>
      <w:lvlText w:val="•"/>
      <w:lvlJc w:val="left"/>
      <w:pPr>
        <w:ind w:left="3837" w:hanging="567"/>
      </w:pPr>
      <w:rPr>
        <w:rFonts w:hint="default"/>
      </w:rPr>
    </w:lvl>
    <w:lvl w:ilvl="4" w:tplc="53DED8B4">
      <w:numFmt w:val="bullet"/>
      <w:lvlText w:val="•"/>
      <w:lvlJc w:val="left"/>
      <w:pPr>
        <w:ind w:left="4870" w:hanging="567"/>
      </w:pPr>
      <w:rPr>
        <w:rFonts w:hint="default"/>
      </w:rPr>
    </w:lvl>
    <w:lvl w:ilvl="5" w:tplc="1EE45280">
      <w:numFmt w:val="bullet"/>
      <w:lvlText w:val="•"/>
      <w:lvlJc w:val="left"/>
      <w:pPr>
        <w:ind w:left="5902" w:hanging="567"/>
      </w:pPr>
      <w:rPr>
        <w:rFonts w:hint="default"/>
      </w:rPr>
    </w:lvl>
    <w:lvl w:ilvl="6" w:tplc="78BC59FE">
      <w:numFmt w:val="bullet"/>
      <w:lvlText w:val="•"/>
      <w:lvlJc w:val="left"/>
      <w:pPr>
        <w:ind w:left="6935" w:hanging="567"/>
      </w:pPr>
      <w:rPr>
        <w:rFonts w:hint="default"/>
      </w:rPr>
    </w:lvl>
    <w:lvl w:ilvl="7" w:tplc="CAC46BC2">
      <w:numFmt w:val="bullet"/>
      <w:lvlText w:val="•"/>
      <w:lvlJc w:val="left"/>
      <w:pPr>
        <w:ind w:left="7967" w:hanging="567"/>
      </w:pPr>
      <w:rPr>
        <w:rFonts w:hint="default"/>
      </w:rPr>
    </w:lvl>
    <w:lvl w:ilvl="8" w:tplc="72CC90EA">
      <w:numFmt w:val="bullet"/>
      <w:lvlText w:val="•"/>
      <w:lvlJc w:val="left"/>
      <w:pPr>
        <w:ind w:left="9000" w:hanging="567"/>
      </w:pPr>
      <w:rPr>
        <w:rFonts w:hint="default"/>
      </w:rPr>
    </w:lvl>
  </w:abstractNum>
  <w:abstractNum w:abstractNumId="5" w15:restartNumberingAfterBreak="0">
    <w:nsid w:val="17ED093A"/>
    <w:multiLevelType w:val="hybridMultilevel"/>
    <w:tmpl w:val="FFFFFFFF"/>
    <w:lvl w:ilvl="0" w:tplc="0922A73A">
      <w:start w:val="1"/>
      <w:numFmt w:val="lowerRoman"/>
      <w:lvlText w:val="(%1)"/>
      <w:lvlJc w:val="left"/>
      <w:pPr>
        <w:ind w:left="720" w:hanging="360"/>
      </w:pPr>
      <w:rPr>
        <w:rFonts w:ascii="Times New Roman" w:eastAsia="Times New Roman" w:hAnsi="Times New Roman" w:cs="Times New Roman" w:hint="default"/>
        <w:b w:val="0"/>
        <w:bCs w:val="0"/>
        <w:i w:val="0"/>
        <w:iCs w:val="0"/>
        <w:color w:val="231F20"/>
        <w:spacing w:val="0"/>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9EB0C5F"/>
    <w:multiLevelType w:val="hybridMultilevel"/>
    <w:tmpl w:val="FFFFFFFF"/>
    <w:lvl w:ilvl="0" w:tplc="509E3A08">
      <w:start w:val="1"/>
      <w:numFmt w:val="lowerRoman"/>
      <w:lvlText w:val="(%1)"/>
      <w:lvlJc w:val="left"/>
      <w:pPr>
        <w:ind w:left="891" w:hanging="720"/>
      </w:pPr>
      <w:rPr>
        <w:rFonts w:cs="Times New Roman" w:hint="default"/>
      </w:rPr>
    </w:lvl>
    <w:lvl w:ilvl="1" w:tplc="04090019">
      <w:start w:val="1"/>
      <w:numFmt w:val="lowerLetter"/>
      <w:lvlText w:val="%2."/>
      <w:lvlJc w:val="left"/>
      <w:pPr>
        <w:ind w:left="1251" w:hanging="360"/>
      </w:pPr>
      <w:rPr>
        <w:rFonts w:cs="Times New Roman"/>
      </w:rPr>
    </w:lvl>
    <w:lvl w:ilvl="2" w:tplc="0409001B" w:tentative="1">
      <w:start w:val="1"/>
      <w:numFmt w:val="lowerRoman"/>
      <w:lvlText w:val="%3."/>
      <w:lvlJc w:val="right"/>
      <w:pPr>
        <w:ind w:left="1971" w:hanging="180"/>
      </w:pPr>
      <w:rPr>
        <w:rFonts w:cs="Times New Roman"/>
      </w:rPr>
    </w:lvl>
    <w:lvl w:ilvl="3" w:tplc="0409000F" w:tentative="1">
      <w:start w:val="1"/>
      <w:numFmt w:val="decimal"/>
      <w:lvlText w:val="%4."/>
      <w:lvlJc w:val="left"/>
      <w:pPr>
        <w:ind w:left="2691" w:hanging="360"/>
      </w:pPr>
      <w:rPr>
        <w:rFonts w:cs="Times New Roman"/>
      </w:rPr>
    </w:lvl>
    <w:lvl w:ilvl="4" w:tplc="04090019" w:tentative="1">
      <w:start w:val="1"/>
      <w:numFmt w:val="lowerLetter"/>
      <w:lvlText w:val="%5."/>
      <w:lvlJc w:val="left"/>
      <w:pPr>
        <w:ind w:left="3411" w:hanging="360"/>
      </w:pPr>
      <w:rPr>
        <w:rFonts w:cs="Times New Roman"/>
      </w:rPr>
    </w:lvl>
    <w:lvl w:ilvl="5" w:tplc="0409001B" w:tentative="1">
      <w:start w:val="1"/>
      <w:numFmt w:val="lowerRoman"/>
      <w:lvlText w:val="%6."/>
      <w:lvlJc w:val="right"/>
      <w:pPr>
        <w:ind w:left="4131" w:hanging="180"/>
      </w:pPr>
      <w:rPr>
        <w:rFonts w:cs="Times New Roman"/>
      </w:rPr>
    </w:lvl>
    <w:lvl w:ilvl="6" w:tplc="0409000F" w:tentative="1">
      <w:start w:val="1"/>
      <w:numFmt w:val="decimal"/>
      <w:lvlText w:val="%7."/>
      <w:lvlJc w:val="left"/>
      <w:pPr>
        <w:ind w:left="4851" w:hanging="360"/>
      </w:pPr>
      <w:rPr>
        <w:rFonts w:cs="Times New Roman"/>
      </w:rPr>
    </w:lvl>
    <w:lvl w:ilvl="7" w:tplc="04090019" w:tentative="1">
      <w:start w:val="1"/>
      <w:numFmt w:val="lowerLetter"/>
      <w:lvlText w:val="%8."/>
      <w:lvlJc w:val="left"/>
      <w:pPr>
        <w:ind w:left="5571" w:hanging="360"/>
      </w:pPr>
      <w:rPr>
        <w:rFonts w:cs="Times New Roman"/>
      </w:rPr>
    </w:lvl>
    <w:lvl w:ilvl="8" w:tplc="0409001B" w:tentative="1">
      <w:start w:val="1"/>
      <w:numFmt w:val="lowerRoman"/>
      <w:lvlText w:val="%9."/>
      <w:lvlJc w:val="right"/>
      <w:pPr>
        <w:ind w:left="6291" w:hanging="180"/>
      </w:pPr>
      <w:rPr>
        <w:rFonts w:cs="Times New Roman"/>
      </w:rPr>
    </w:lvl>
  </w:abstractNum>
  <w:abstractNum w:abstractNumId="7" w15:restartNumberingAfterBreak="0">
    <w:nsid w:val="21E4631B"/>
    <w:multiLevelType w:val="hybridMultilevel"/>
    <w:tmpl w:val="FFFFFFFF"/>
    <w:lvl w:ilvl="0" w:tplc="94AADB34">
      <w:start w:val="1"/>
      <w:numFmt w:val="lowerRoman"/>
      <w:lvlText w:val="(%1)"/>
      <w:lvlJc w:val="left"/>
      <w:pPr>
        <w:ind w:left="1010" w:hanging="720"/>
      </w:pPr>
      <w:rPr>
        <w:rFonts w:cs="Times New Roman" w:hint="default"/>
      </w:rPr>
    </w:lvl>
    <w:lvl w:ilvl="1" w:tplc="04090019" w:tentative="1">
      <w:start w:val="1"/>
      <w:numFmt w:val="ideographTraditional"/>
      <w:lvlText w:val="%2、"/>
      <w:lvlJc w:val="left"/>
      <w:pPr>
        <w:ind w:left="1250" w:hanging="480"/>
      </w:pPr>
      <w:rPr>
        <w:rFonts w:cs="Times New Roman"/>
      </w:rPr>
    </w:lvl>
    <w:lvl w:ilvl="2" w:tplc="0409001B" w:tentative="1">
      <w:start w:val="1"/>
      <w:numFmt w:val="lowerRoman"/>
      <w:lvlText w:val="%3."/>
      <w:lvlJc w:val="right"/>
      <w:pPr>
        <w:ind w:left="1730" w:hanging="480"/>
      </w:pPr>
      <w:rPr>
        <w:rFonts w:cs="Times New Roman"/>
      </w:rPr>
    </w:lvl>
    <w:lvl w:ilvl="3" w:tplc="0409000F" w:tentative="1">
      <w:start w:val="1"/>
      <w:numFmt w:val="decimal"/>
      <w:lvlText w:val="%4."/>
      <w:lvlJc w:val="left"/>
      <w:pPr>
        <w:ind w:left="2210" w:hanging="480"/>
      </w:pPr>
      <w:rPr>
        <w:rFonts w:cs="Times New Roman"/>
      </w:rPr>
    </w:lvl>
    <w:lvl w:ilvl="4" w:tplc="04090019" w:tentative="1">
      <w:start w:val="1"/>
      <w:numFmt w:val="ideographTraditional"/>
      <w:lvlText w:val="%5、"/>
      <w:lvlJc w:val="left"/>
      <w:pPr>
        <w:ind w:left="2690" w:hanging="480"/>
      </w:pPr>
      <w:rPr>
        <w:rFonts w:cs="Times New Roman"/>
      </w:rPr>
    </w:lvl>
    <w:lvl w:ilvl="5" w:tplc="0409001B" w:tentative="1">
      <w:start w:val="1"/>
      <w:numFmt w:val="lowerRoman"/>
      <w:lvlText w:val="%6."/>
      <w:lvlJc w:val="right"/>
      <w:pPr>
        <w:ind w:left="3170" w:hanging="480"/>
      </w:pPr>
      <w:rPr>
        <w:rFonts w:cs="Times New Roman"/>
      </w:rPr>
    </w:lvl>
    <w:lvl w:ilvl="6" w:tplc="0409000F" w:tentative="1">
      <w:start w:val="1"/>
      <w:numFmt w:val="decimal"/>
      <w:lvlText w:val="%7."/>
      <w:lvlJc w:val="left"/>
      <w:pPr>
        <w:ind w:left="3650" w:hanging="480"/>
      </w:pPr>
      <w:rPr>
        <w:rFonts w:cs="Times New Roman"/>
      </w:rPr>
    </w:lvl>
    <w:lvl w:ilvl="7" w:tplc="04090019" w:tentative="1">
      <w:start w:val="1"/>
      <w:numFmt w:val="ideographTraditional"/>
      <w:lvlText w:val="%8、"/>
      <w:lvlJc w:val="left"/>
      <w:pPr>
        <w:ind w:left="4130" w:hanging="480"/>
      </w:pPr>
      <w:rPr>
        <w:rFonts w:cs="Times New Roman"/>
      </w:rPr>
    </w:lvl>
    <w:lvl w:ilvl="8" w:tplc="0409001B" w:tentative="1">
      <w:start w:val="1"/>
      <w:numFmt w:val="lowerRoman"/>
      <w:lvlText w:val="%9."/>
      <w:lvlJc w:val="right"/>
      <w:pPr>
        <w:ind w:left="4610" w:hanging="480"/>
      </w:pPr>
      <w:rPr>
        <w:rFonts w:cs="Times New Roman"/>
      </w:rPr>
    </w:lvl>
  </w:abstractNum>
  <w:abstractNum w:abstractNumId="8" w15:restartNumberingAfterBreak="0">
    <w:nsid w:val="2C782192"/>
    <w:multiLevelType w:val="hybridMultilevel"/>
    <w:tmpl w:val="FFFFFFFF"/>
    <w:lvl w:ilvl="0" w:tplc="0922A73A">
      <w:start w:val="1"/>
      <w:numFmt w:val="lowerRoman"/>
      <w:lvlText w:val="(%1)"/>
      <w:lvlJc w:val="left"/>
      <w:pPr>
        <w:ind w:left="1010" w:hanging="360"/>
      </w:pPr>
      <w:rPr>
        <w:rFonts w:ascii="Times New Roman" w:eastAsia="Times New Roman" w:hAnsi="Times New Roman" w:cs="Times New Roman" w:hint="default"/>
        <w:b w:val="0"/>
        <w:bCs w:val="0"/>
        <w:i w:val="0"/>
        <w:iCs w:val="0"/>
        <w:color w:val="231F20"/>
        <w:spacing w:val="0"/>
        <w:w w:val="100"/>
        <w:sz w:val="24"/>
        <w:szCs w:val="24"/>
      </w:rPr>
    </w:lvl>
    <w:lvl w:ilvl="1" w:tplc="04090019" w:tentative="1">
      <w:start w:val="1"/>
      <w:numFmt w:val="lowerLetter"/>
      <w:lvlText w:val="%2."/>
      <w:lvlJc w:val="left"/>
      <w:pPr>
        <w:ind w:left="1730" w:hanging="360"/>
      </w:pPr>
      <w:rPr>
        <w:rFonts w:cs="Times New Roman"/>
      </w:rPr>
    </w:lvl>
    <w:lvl w:ilvl="2" w:tplc="0409001B" w:tentative="1">
      <w:start w:val="1"/>
      <w:numFmt w:val="lowerRoman"/>
      <w:lvlText w:val="%3."/>
      <w:lvlJc w:val="right"/>
      <w:pPr>
        <w:ind w:left="2450" w:hanging="180"/>
      </w:pPr>
      <w:rPr>
        <w:rFonts w:cs="Times New Roman"/>
      </w:rPr>
    </w:lvl>
    <w:lvl w:ilvl="3" w:tplc="0409000F" w:tentative="1">
      <w:start w:val="1"/>
      <w:numFmt w:val="decimal"/>
      <w:lvlText w:val="%4."/>
      <w:lvlJc w:val="left"/>
      <w:pPr>
        <w:ind w:left="3170" w:hanging="360"/>
      </w:pPr>
      <w:rPr>
        <w:rFonts w:cs="Times New Roman"/>
      </w:rPr>
    </w:lvl>
    <w:lvl w:ilvl="4" w:tplc="04090019" w:tentative="1">
      <w:start w:val="1"/>
      <w:numFmt w:val="lowerLetter"/>
      <w:lvlText w:val="%5."/>
      <w:lvlJc w:val="left"/>
      <w:pPr>
        <w:ind w:left="3890" w:hanging="360"/>
      </w:pPr>
      <w:rPr>
        <w:rFonts w:cs="Times New Roman"/>
      </w:rPr>
    </w:lvl>
    <w:lvl w:ilvl="5" w:tplc="0409001B" w:tentative="1">
      <w:start w:val="1"/>
      <w:numFmt w:val="lowerRoman"/>
      <w:lvlText w:val="%6."/>
      <w:lvlJc w:val="right"/>
      <w:pPr>
        <w:ind w:left="4610" w:hanging="180"/>
      </w:pPr>
      <w:rPr>
        <w:rFonts w:cs="Times New Roman"/>
      </w:rPr>
    </w:lvl>
    <w:lvl w:ilvl="6" w:tplc="0409000F" w:tentative="1">
      <w:start w:val="1"/>
      <w:numFmt w:val="decimal"/>
      <w:lvlText w:val="%7."/>
      <w:lvlJc w:val="left"/>
      <w:pPr>
        <w:ind w:left="5330" w:hanging="360"/>
      </w:pPr>
      <w:rPr>
        <w:rFonts w:cs="Times New Roman"/>
      </w:rPr>
    </w:lvl>
    <w:lvl w:ilvl="7" w:tplc="04090019" w:tentative="1">
      <w:start w:val="1"/>
      <w:numFmt w:val="lowerLetter"/>
      <w:lvlText w:val="%8."/>
      <w:lvlJc w:val="left"/>
      <w:pPr>
        <w:ind w:left="6050" w:hanging="360"/>
      </w:pPr>
      <w:rPr>
        <w:rFonts w:cs="Times New Roman"/>
      </w:rPr>
    </w:lvl>
    <w:lvl w:ilvl="8" w:tplc="0409001B" w:tentative="1">
      <w:start w:val="1"/>
      <w:numFmt w:val="lowerRoman"/>
      <w:lvlText w:val="%9."/>
      <w:lvlJc w:val="right"/>
      <w:pPr>
        <w:ind w:left="6770" w:hanging="180"/>
      </w:pPr>
      <w:rPr>
        <w:rFonts w:cs="Times New Roman"/>
      </w:rPr>
    </w:lvl>
  </w:abstractNum>
  <w:abstractNum w:abstractNumId="9" w15:restartNumberingAfterBreak="0">
    <w:nsid w:val="30B37BC2"/>
    <w:multiLevelType w:val="hybridMultilevel"/>
    <w:tmpl w:val="FFFFFFFF"/>
    <w:lvl w:ilvl="0" w:tplc="0922A73A">
      <w:start w:val="1"/>
      <w:numFmt w:val="lowerRoman"/>
      <w:lvlText w:val="(%1)"/>
      <w:lvlJc w:val="left"/>
      <w:pPr>
        <w:ind w:left="1004" w:hanging="360"/>
      </w:pPr>
      <w:rPr>
        <w:rFonts w:ascii="Times New Roman" w:eastAsia="Times New Roman" w:hAnsi="Times New Roman" w:cs="Times New Roman" w:hint="default"/>
        <w:b w:val="0"/>
        <w:bCs w:val="0"/>
        <w:i w:val="0"/>
        <w:iCs w:val="0"/>
        <w:color w:val="231F20"/>
        <w:spacing w:val="0"/>
        <w:w w:val="100"/>
        <w:sz w:val="24"/>
        <w:szCs w:val="24"/>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0" w15:restartNumberingAfterBreak="0">
    <w:nsid w:val="313A46CE"/>
    <w:multiLevelType w:val="hybridMultilevel"/>
    <w:tmpl w:val="FFFFFFFF"/>
    <w:lvl w:ilvl="0" w:tplc="822418B0">
      <w:start w:val="1"/>
      <w:numFmt w:val="decimal"/>
      <w:lvlText w:val="(%1)"/>
      <w:lvlJc w:val="left"/>
      <w:pPr>
        <w:ind w:left="1004" w:hanging="360"/>
      </w:pPr>
      <w:rPr>
        <w:rFonts w:ascii="Times New Roman" w:eastAsia="DengXian" w:hAnsi="Times New Roman" w:cs="Times New Roman" w:hint="default"/>
        <w:b w:val="0"/>
        <w:bCs w:val="0"/>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1" w15:restartNumberingAfterBreak="0">
    <w:nsid w:val="32453F05"/>
    <w:multiLevelType w:val="hybridMultilevel"/>
    <w:tmpl w:val="FFFFFFFF"/>
    <w:lvl w:ilvl="0" w:tplc="FFFFFFFF">
      <w:start w:val="1"/>
      <w:numFmt w:val="lowerRoman"/>
      <w:lvlText w:val="(%1)"/>
      <w:lvlJc w:val="left"/>
      <w:pPr>
        <w:ind w:left="1010" w:hanging="720"/>
      </w:pPr>
      <w:rPr>
        <w:rFonts w:ascii="Times New Roman" w:eastAsia="DengXian" w:hAnsi="Times New Roman" w:cs="Times New Roman" w:hint="default"/>
      </w:rPr>
    </w:lvl>
    <w:lvl w:ilvl="1" w:tplc="FFFFFFFF" w:tentative="1">
      <w:start w:val="1"/>
      <w:numFmt w:val="ideographTraditional"/>
      <w:lvlText w:val="%2、"/>
      <w:lvlJc w:val="left"/>
      <w:pPr>
        <w:ind w:left="1250" w:hanging="480"/>
      </w:pPr>
      <w:rPr>
        <w:rFonts w:cs="Times New Roman"/>
      </w:rPr>
    </w:lvl>
    <w:lvl w:ilvl="2" w:tplc="FFFFFFFF" w:tentative="1">
      <w:start w:val="1"/>
      <w:numFmt w:val="lowerRoman"/>
      <w:lvlText w:val="%3."/>
      <w:lvlJc w:val="right"/>
      <w:pPr>
        <w:ind w:left="1730" w:hanging="480"/>
      </w:pPr>
      <w:rPr>
        <w:rFonts w:cs="Times New Roman"/>
      </w:rPr>
    </w:lvl>
    <w:lvl w:ilvl="3" w:tplc="FFFFFFFF" w:tentative="1">
      <w:start w:val="1"/>
      <w:numFmt w:val="decimal"/>
      <w:lvlText w:val="%4."/>
      <w:lvlJc w:val="left"/>
      <w:pPr>
        <w:ind w:left="2210" w:hanging="480"/>
      </w:pPr>
      <w:rPr>
        <w:rFonts w:cs="Times New Roman"/>
      </w:rPr>
    </w:lvl>
    <w:lvl w:ilvl="4" w:tplc="FFFFFFFF" w:tentative="1">
      <w:start w:val="1"/>
      <w:numFmt w:val="ideographTraditional"/>
      <w:lvlText w:val="%5、"/>
      <w:lvlJc w:val="left"/>
      <w:pPr>
        <w:ind w:left="2690" w:hanging="480"/>
      </w:pPr>
      <w:rPr>
        <w:rFonts w:cs="Times New Roman"/>
      </w:rPr>
    </w:lvl>
    <w:lvl w:ilvl="5" w:tplc="FFFFFFFF" w:tentative="1">
      <w:start w:val="1"/>
      <w:numFmt w:val="lowerRoman"/>
      <w:lvlText w:val="%6."/>
      <w:lvlJc w:val="right"/>
      <w:pPr>
        <w:ind w:left="3170" w:hanging="480"/>
      </w:pPr>
      <w:rPr>
        <w:rFonts w:cs="Times New Roman"/>
      </w:rPr>
    </w:lvl>
    <w:lvl w:ilvl="6" w:tplc="FFFFFFFF" w:tentative="1">
      <w:start w:val="1"/>
      <w:numFmt w:val="decimal"/>
      <w:lvlText w:val="%7."/>
      <w:lvlJc w:val="left"/>
      <w:pPr>
        <w:ind w:left="3650" w:hanging="480"/>
      </w:pPr>
      <w:rPr>
        <w:rFonts w:cs="Times New Roman"/>
      </w:rPr>
    </w:lvl>
    <w:lvl w:ilvl="7" w:tplc="FFFFFFFF" w:tentative="1">
      <w:start w:val="1"/>
      <w:numFmt w:val="ideographTraditional"/>
      <w:lvlText w:val="%8、"/>
      <w:lvlJc w:val="left"/>
      <w:pPr>
        <w:ind w:left="4130" w:hanging="480"/>
      </w:pPr>
      <w:rPr>
        <w:rFonts w:cs="Times New Roman"/>
      </w:rPr>
    </w:lvl>
    <w:lvl w:ilvl="8" w:tplc="FFFFFFFF" w:tentative="1">
      <w:start w:val="1"/>
      <w:numFmt w:val="lowerRoman"/>
      <w:lvlText w:val="%9."/>
      <w:lvlJc w:val="right"/>
      <w:pPr>
        <w:ind w:left="4610" w:hanging="480"/>
      </w:pPr>
      <w:rPr>
        <w:rFonts w:cs="Times New Roman"/>
      </w:rPr>
    </w:lvl>
  </w:abstractNum>
  <w:abstractNum w:abstractNumId="12" w15:restartNumberingAfterBreak="0">
    <w:nsid w:val="360173AF"/>
    <w:multiLevelType w:val="hybridMultilevel"/>
    <w:tmpl w:val="FFFFFFFF"/>
    <w:lvl w:ilvl="0" w:tplc="FFFFFFFF">
      <w:start w:val="1"/>
      <w:numFmt w:val="lowerRoman"/>
      <w:lvlText w:val="(%1)"/>
      <w:lvlJc w:val="left"/>
      <w:pPr>
        <w:ind w:left="1010" w:hanging="720"/>
      </w:pPr>
      <w:rPr>
        <w:rFonts w:ascii="Times New Roman" w:eastAsia="DengXian" w:hAnsi="Times New Roman"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13" w15:restartNumberingAfterBreak="0">
    <w:nsid w:val="4000750D"/>
    <w:multiLevelType w:val="hybridMultilevel"/>
    <w:tmpl w:val="FFFFFFFF"/>
    <w:lvl w:ilvl="0" w:tplc="195EAF0C">
      <w:start w:val="1"/>
      <w:numFmt w:val="lowerRoman"/>
      <w:lvlText w:val="(%1)"/>
      <w:lvlJc w:val="left"/>
      <w:pPr>
        <w:ind w:left="1010" w:hanging="720"/>
      </w:pPr>
      <w:rPr>
        <w:rFonts w:ascii="Times New Roman" w:eastAsia="DengXian" w:hAnsi="Times New Roman" w:cs="Times New Roman" w:hint="default"/>
      </w:rPr>
    </w:lvl>
    <w:lvl w:ilvl="1" w:tplc="04090019" w:tentative="1">
      <w:start w:val="1"/>
      <w:numFmt w:val="ideographTraditional"/>
      <w:lvlText w:val="%2、"/>
      <w:lvlJc w:val="left"/>
      <w:pPr>
        <w:ind w:left="1250" w:hanging="480"/>
      </w:pPr>
      <w:rPr>
        <w:rFonts w:cs="Times New Roman"/>
      </w:rPr>
    </w:lvl>
    <w:lvl w:ilvl="2" w:tplc="0409001B" w:tentative="1">
      <w:start w:val="1"/>
      <w:numFmt w:val="lowerRoman"/>
      <w:lvlText w:val="%3."/>
      <w:lvlJc w:val="right"/>
      <w:pPr>
        <w:ind w:left="1730" w:hanging="480"/>
      </w:pPr>
      <w:rPr>
        <w:rFonts w:cs="Times New Roman"/>
      </w:rPr>
    </w:lvl>
    <w:lvl w:ilvl="3" w:tplc="0409000F" w:tentative="1">
      <w:start w:val="1"/>
      <w:numFmt w:val="decimal"/>
      <w:lvlText w:val="%4."/>
      <w:lvlJc w:val="left"/>
      <w:pPr>
        <w:ind w:left="2210" w:hanging="480"/>
      </w:pPr>
      <w:rPr>
        <w:rFonts w:cs="Times New Roman"/>
      </w:rPr>
    </w:lvl>
    <w:lvl w:ilvl="4" w:tplc="04090019" w:tentative="1">
      <w:start w:val="1"/>
      <w:numFmt w:val="ideographTraditional"/>
      <w:lvlText w:val="%5、"/>
      <w:lvlJc w:val="left"/>
      <w:pPr>
        <w:ind w:left="2690" w:hanging="480"/>
      </w:pPr>
      <w:rPr>
        <w:rFonts w:cs="Times New Roman"/>
      </w:rPr>
    </w:lvl>
    <w:lvl w:ilvl="5" w:tplc="0409001B" w:tentative="1">
      <w:start w:val="1"/>
      <w:numFmt w:val="lowerRoman"/>
      <w:lvlText w:val="%6."/>
      <w:lvlJc w:val="right"/>
      <w:pPr>
        <w:ind w:left="3170" w:hanging="480"/>
      </w:pPr>
      <w:rPr>
        <w:rFonts w:cs="Times New Roman"/>
      </w:rPr>
    </w:lvl>
    <w:lvl w:ilvl="6" w:tplc="0409000F" w:tentative="1">
      <w:start w:val="1"/>
      <w:numFmt w:val="decimal"/>
      <w:lvlText w:val="%7."/>
      <w:lvlJc w:val="left"/>
      <w:pPr>
        <w:ind w:left="3650" w:hanging="480"/>
      </w:pPr>
      <w:rPr>
        <w:rFonts w:cs="Times New Roman"/>
      </w:rPr>
    </w:lvl>
    <w:lvl w:ilvl="7" w:tplc="04090019" w:tentative="1">
      <w:start w:val="1"/>
      <w:numFmt w:val="ideographTraditional"/>
      <w:lvlText w:val="%8、"/>
      <w:lvlJc w:val="left"/>
      <w:pPr>
        <w:ind w:left="4130" w:hanging="480"/>
      </w:pPr>
      <w:rPr>
        <w:rFonts w:cs="Times New Roman"/>
      </w:rPr>
    </w:lvl>
    <w:lvl w:ilvl="8" w:tplc="0409001B" w:tentative="1">
      <w:start w:val="1"/>
      <w:numFmt w:val="lowerRoman"/>
      <w:lvlText w:val="%9."/>
      <w:lvlJc w:val="right"/>
      <w:pPr>
        <w:ind w:left="4610" w:hanging="480"/>
      </w:pPr>
      <w:rPr>
        <w:rFonts w:cs="Times New Roman"/>
      </w:rPr>
    </w:lvl>
  </w:abstractNum>
  <w:abstractNum w:abstractNumId="14" w15:restartNumberingAfterBreak="0">
    <w:nsid w:val="42614B38"/>
    <w:multiLevelType w:val="hybridMultilevel"/>
    <w:tmpl w:val="FFFFFFFF"/>
    <w:lvl w:ilvl="0" w:tplc="0922A73A">
      <w:start w:val="1"/>
      <w:numFmt w:val="lowerRoman"/>
      <w:lvlText w:val="(%1)"/>
      <w:lvlJc w:val="left"/>
      <w:pPr>
        <w:ind w:left="1004" w:hanging="360"/>
      </w:pPr>
      <w:rPr>
        <w:rFonts w:ascii="Times New Roman" w:eastAsia="Times New Roman" w:hAnsi="Times New Roman" w:cs="Times New Roman" w:hint="default"/>
        <w:b w:val="0"/>
        <w:bCs w:val="0"/>
        <w:i w:val="0"/>
        <w:iCs w:val="0"/>
        <w:color w:val="231F20"/>
        <w:spacing w:val="0"/>
        <w:w w:val="100"/>
        <w:sz w:val="24"/>
        <w:szCs w:val="24"/>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5" w15:restartNumberingAfterBreak="0">
    <w:nsid w:val="4A294669"/>
    <w:multiLevelType w:val="hybridMultilevel"/>
    <w:tmpl w:val="FFFFFFFF"/>
    <w:lvl w:ilvl="0" w:tplc="0922A73A">
      <w:start w:val="1"/>
      <w:numFmt w:val="lowerRoman"/>
      <w:lvlText w:val="(%1)"/>
      <w:lvlJc w:val="left"/>
      <w:pPr>
        <w:ind w:left="1429" w:hanging="360"/>
      </w:pPr>
      <w:rPr>
        <w:rFonts w:ascii="Times New Roman" w:eastAsia="Times New Roman" w:hAnsi="Times New Roman" w:cs="Times New Roman" w:hint="default"/>
        <w:b w:val="0"/>
        <w:bCs w:val="0"/>
        <w:i w:val="0"/>
        <w:iCs w:val="0"/>
        <w:color w:val="231F20"/>
        <w:spacing w:val="0"/>
        <w:w w:val="100"/>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6" w15:restartNumberingAfterBreak="0">
    <w:nsid w:val="561937F8"/>
    <w:multiLevelType w:val="hybridMultilevel"/>
    <w:tmpl w:val="1D688048"/>
    <w:lvl w:ilvl="0" w:tplc="8A86A442">
      <w:start w:val="1"/>
      <w:numFmt w:val="decimal"/>
      <w:lvlText w:val="(%1)"/>
      <w:lvlJc w:val="left"/>
      <w:pPr>
        <w:ind w:left="680" w:hanging="39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7" w15:restartNumberingAfterBreak="0">
    <w:nsid w:val="59B411DE"/>
    <w:multiLevelType w:val="hybridMultilevel"/>
    <w:tmpl w:val="FFFFFFFF"/>
    <w:lvl w:ilvl="0" w:tplc="6E5C3920">
      <w:start w:val="1"/>
      <w:numFmt w:val="lowerRoman"/>
      <w:lvlText w:val="(%1)"/>
      <w:lvlJc w:val="left"/>
      <w:pPr>
        <w:ind w:left="1010" w:hanging="720"/>
      </w:pPr>
      <w:rPr>
        <w:rFonts w:cs="Times New Roman" w:hint="default"/>
      </w:rPr>
    </w:lvl>
    <w:lvl w:ilvl="1" w:tplc="04090019" w:tentative="1">
      <w:start w:val="1"/>
      <w:numFmt w:val="ideographTraditional"/>
      <w:lvlText w:val="%2、"/>
      <w:lvlJc w:val="left"/>
      <w:pPr>
        <w:ind w:left="1250" w:hanging="480"/>
      </w:pPr>
      <w:rPr>
        <w:rFonts w:cs="Times New Roman"/>
      </w:rPr>
    </w:lvl>
    <w:lvl w:ilvl="2" w:tplc="0409001B" w:tentative="1">
      <w:start w:val="1"/>
      <w:numFmt w:val="lowerRoman"/>
      <w:lvlText w:val="%3."/>
      <w:lvlJc w:val="right"/>
      <w:pPr>
        <w:ind w:left="1730" w:hanging="480"/>
      </w:pPr>
      <w:rPr>
        <w:rFonts w:cs="Times New Roman"/>
      </w:rPr>
    </w:lvl>
    <w:lvl w:ilvl="3" w:tplc="0409000F" w:tentative="1">
      <w:start w:val="1"/>
      <w:numFmt w:val="decimal"/>
      <w:lvlText w:val="%4."/>
      <w:lvlJc w:val="left"/>
      <w:pPr>
        <w:ind w:left="2210" w:hanging="480"/>
      </w:pPr>
      <w:rPr>
        <w:rFonts w:cs="Times New Roman"/>
      </w:rPr>
    </w:lvl>
    <w:lvl w:ilvl="4" w:tplc="04090019" w:tentative="1">
      <w:start w:val="1"/>
      <w:numFmt w:val="ideographTraditional"/>
      <w:lvlText w:val="%5、"/>
      <w:lvlJc w:val="left"/>
      <w:pPr>
        <w:ind w:left="2690" w:hanging="480"/>
      </w:pPr>
      <w:rPr>
        <w:rFonts w:cs="Times New Roman"/>
      </w:rPr>
    </w:lvl>
    <w:lvl w:ilvl="5" w:tplc="0409001B" w:tentative="1">
      <w:start w:val="1"/>
      <w:numFmt w:val="lowerRoman"/>
      <w:lvlText w:val="%6."/>
      <w:lvlJc w:val="right"/>
      <w:pPr>
        <w:ind w:left="3170" w:hanging="480"/>
      </w:pPr>
      <w:rPr>
        <w:rFonts w:cs="Times New Roman"/>
      </w:rPr>
    </w:lvl>
    <w:lvl w:ilvl="6" w:tplc="0409000F" w:tentative="1">
      <w:start w:val="1"/>
      <w:numFmt w:val="decimal"/>
      <w:lvlText w:val="%7."/>
      <w:lvlJc w:val="left"/>
      <w:pPr>
        <w:ind w:left="3650" w:hanging="480"/>
      </w:pPr>
      <w:rPr>
        <w:rFonts w:cs="Times New Roman"/>
      </w:rPr>
    </w:lvl>
    <w:lvl w:ilvl="7" w:tplc="04090019" w:tentative="1">
      <w:start w:val="1"/>
      <w:numFmt w:val="ideographTraditional"/>
      <w:lvlText w:val="%8、"/>
      <w:lvlJc w:val="left"/>
      <w:pPr>
        <w:ind w:left="4130" w:hanging="480"/>
      </w:pPr>
      <w:rPr>
        <w:rFonts w:cs="Times New Roman"/>
      </w:rPr>
    </w:lvl>
    <w:lvl w:ilvl="8" w:tplc="0409001B" w:tentative="1">
      <w:start w:val="1"/>
      <w:numFmt w:val="lowerRoman"/>
      <w:lvlText w:val="%9."/>
      <w:lvlJc w:val="right"/>
      <w:pPr>
        <w:ind w:left="4610" w:hanging="480"/>
      </w:pPr>
      <w:rPr>
        <w:rFonts w:cs="Times New Roman"/>
      </w:rPr>
    </w:lvl>
  </w:abstractNum>
  <w:abstractNum w:abstractNumId="18" w15:restartNumberingAfterBreak="0">
    <w:nsid w:val="6C64082E"/>
    <w:multiLevelType w:val="hybridMultilevel"/>
    <w:tmpl w:val="BC6882AC"/>
    <w:lvl w:ilvl="0" w:tplc="5986FF88">
      <w:start w:val="1"/>
      <w:numFmt w:val="lowerLetter"/>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9" w15:restartNumberingAfterBreak="0">
    <w:nsid w:val="784F3BA9"/>
    <w:multiLevelType w:val="hybridMultilevel"/>
    <w:tmpl w:val="FFFFFFFF"/>
    <w:lvl w:ilvl="0" w:tplc="0922A73A">
      <w:start w:val="1"/>
      <w:numFmt w:val="lowerRoman"/>
      <w:lvlText w:val="(%1)"/>
      <w:lvlJc w:val="left"/>
      <w:pPr>
        <w:ind w:left="1004" w:hanging="360"/>
      </w:pPr>
      <w:rPr>
        <w:rFonts w:ascii="Times New Roman" w:eastAsia="Times New Roman" w:hAnsi="Times New Roman" w:cs="Times New Roman" w:hint="default"/>
        <w:b w:val="0"/>
        <w:bCs w:val="0"/>
        <w:i w:val="0"/>
        <w:iCs w:val="0"/>
        <w:color w:val="231F20"/>
        <w:spacing w:val="0"/>
        <w:w w:val="100"/>
        <w:sz w:val="24"/>
        <w:szCs w:val="24"/>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0" w15:restartNumberingAfterBreak="0">
    <w:nsid w:val="78C61A25"/>
    <w:multiLevelType w:val="hybridMultilevel"/>
    <w:tmpl w:val="FFFFFFFF"/>
    <w:lvl w:ilvl="0" w:tplc="055289EA">
      <w:start w:val="1"/>
      <w:numFmt w:val="decimal"/>
      <w:lvlText w:val="(%1)"/>
      <w:lvlJc w:val="left"/>
      <w:pPr>
        <w:ind w:left="650" w:hanging="360"/>
      </w:pPr>
      <w:rPr>
        <w:rFonts w:ascii="Times New Roman" w:eastAsia="DengXian" w:hAnsi="Times New Roman" w:cs="Times New Roman" w:hint="default"/>
      </w:rPr>
    </w:lvl>
    <w:lvl w:ilvl="1" w:tplc="04090019" w:tentative="1">
      <w:start w:val="1"/>
      <w:numFmt w:val="ideographTraditional"/>
      <w:lvlText w:val="%2、"/>
      <w:lvlJc w:val="left"/>
      <w:pPr>
        <w:ind w:left="1250" w:hanging="480"/>
      </w:pPr>
      <w:rPr>
        <w:rFonts w:cs="Times New Roman"/>
      </w:rPr>
    </w:lvl>
    <w:lvl w:ilvl="2" w:tplc="0409001B" w:tentative="1">
      <w:start w:val="1"/>
      <w:numFmt w:val="lowerRoman"/>
      <w:lvlText w:val="%3."/>
      <w:lvlJc w:val="right"/>
      <w:pPr>
        <w:ind w:left="1730" w:hanging="480"/>
      </w:pPr>
      <w:rPr>
        <w:rFonts w:cs="Times New Roman"/>
      </w:rPr>
    </w:lvl>
    <w:lvl w:ilvl="3" w:tplc="0409000F" w:tentative="1">
      <w:start w:val="1"/>
      <w:numFmt w:val="decimal"/>
      <w:lvlText w:val="%4."/>
      <w:lvlJc w:val="left"/>
      <w:pPr>
        <w:ind w:left="2210" w:hanging="480"/>
      </w:pPr>
      <w:rPr>
        <w:rFonts w:cs="Times New Roman"/>
      </w:rPr>
    </w:lvl>
    <w:lvl w:ilvl="4" w:tplc="04090019" w:tentative="1">
      <w:start w:val="1"/>
      <w:numFmt w:val="ideographTraditional"/>
      <w:lvlText w:val="%5、"/>
      <w:lvlJc w:val="left"/>
      <w:pPr>
        <w:ind w:left="2690" w:hanging="480"/>
      </w:pPr>
      <w:rPr>
        <w:rFonts w:cs="Times New Roman"/>
      </w:rPr>
    </w:lvl>
    <w:lvl w:ilvl="5" w:tplc="0409001B" w:tentative="1">
      <w:start w:val="1"/>
      <w:numFmt w:val="lowerRoman"/>
      <w:lvlText w:val="%6."/>
      <w:lvlJc w:val="right"/>
      <w:pPr>
        <w:ind w:left="3170" w:hanging="480"/>
      </w:pPr>
      <w:rPr>
        <w:rFonts w:cs="Times New Roman"/>
      </w:rPr>
    </w:lvl>
    <w:lvl w:ilvl="6" w:tplc="0409000F" w:tentative="1">
      <w:start w:val="1"/>
      <w:numFmt w:val="decimal"/>
      <w:lvlText w:val="%7."/>
      <w:lvlJc w:val="left"/>
      <w:pPr>
        <w:ind w:left="3650" w:hanging="480"/>
      </w:pPr>
      <w:rPr>
        <w:rFonts w:cs="Times New Roman"/>
      </w:rPr>
    </w:lvl>
    <w:lvl w:ilvl="7" w:tplc="04090019" w:tentative="1">
      <w:start w:val="1"/>
      <w:numFmt w:val="ideographTraditional"/>
      <w:lvlText w:val="%8、"/>
      <w:lvlJc w:val="left"/>
      <w:pPr>
        <w:ind w:left="4130" w:hanging="480"/>
      </w:pPr>
      <w:rPr>
        <w:rFonts w:cs="Times New Roman"/>
      </w:rPr>
    </w:lvl>
    <w:lvl w:ilvl="8" w:tplc="0409001B" w:tentative="1">
      <w:start w:val="1"/>
      <w:numFmt w:val="lowerRoman"/>
      <w:lvlText w:val="%9."/>
      <w:lvlJc w:val="right"/>
      <w:pPr>
        <w:ind w:left="4610" w:hanging="480"/>
      </w:pPr>
      <w:rPr>
        <w:rFonts w:cs="Times New Roman"/>
      </w:rPr>
    </w:lvl>
  </w:abstractNum>
  <w:num w:numId="1" w16cid:durableId="1998262818">
    <w:abstractNumId w:val="1"/>
  </w:num>
  <w:num w:numId="2" w16cid:durableId="1508133403">
    <w:abstractNumId w:val="0"/>
  </w:num>
  <w:num w:numId="3" w16cid:durableId="827087470">
    <w:abstractNumId w:val="6"/>
  </w:num>
  <w:num w:numId="4" w16cid:durableId="7222276">
    <w:abstractNumId w:val="13"/>
  </w:num>
  <w:num w:numId="5" w16cid:durableId="1287812236">
    <w:abstractNumId w:val="4"/>
  </w:num>
  <w:num w:numId="6" w16cid:durableId="1990203118">
    <w:abstractNumId w:val="7"/>
  </w:num>
  <w:num w:numId="7" w16cid:durableId="1604995612">
    <w:abstractNumId w:val="2"/>
  </w:num>
  <w:num w:numId="8" w16cid:durableId="1179348706">
    <w:abstractNumId w:val="17"/>
  </w:num>
  <w:num w:numId="9" w16cid:durableId="559369555">
    <w:abstractNumId w:val="12"/>
  </w:num>
  <w:num w:numId="10" w16cid:durableId="753084959">
    <w:abstractNumId w:val="20"/>
  </w:num>
  <w:num w:numId="11" w16cid:durableId="579025367">
    <w:abstractNumId w:val="3"/>
  </w:num>
  <w:num w:numId="12" w16cid:durableId="474567898">
    <w:abstractNumId w:val="10"/>
  </w:num>
  <w:num w:numId="13" w16cid:durableId="18032348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5488566">
    <w:abstractNumId w:val="11"/>
  </w:num>
  <w:num w:numId="15" w16cid:durableId="985624574">
    <w:abstractNumId w:val="8"/>
  </w:num>
  <w:num w:numId="16" w16cid:durableId="710154719">
    <w:abstractNumId w:val="5"/>
  </w:num>
  <w:num w:numId="17" w16cid:durableId="1131359924">
    <w:abstractNumId w:val="9"/>
  </w:num>
  <w:num w:numId="18" w16cid:durableId="1822697626">
    <w:abstractNumId w:val="14"/>
  </w:num>
  <w:num w:numId="19" w16cid:durableId="1637372006">
    <w:abstractNumId w:val="19"/>
  </w:num>
  <w:num w:numId="20" w16cid:durableId="716513482">
    <w:abstractNumId w:val="15"/>
  </w:num>
  <w:num w:numId="21" w16cid:durableId="608857773">
    <w:abstractNumId w:val="18"/>
  </w:num>
  <w:num w:numId="22" w16cid:durableId="8925442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E7"/>
    <w:rsid w:val="00012C65"/>
    <w:rsid w:val="00023F7A"/>
    <w:rsid w:val="000263B0"/>
    <w:rsid w:val="000349B6"/>
    <w:rsid w:val="0003786E"/>
    <w:rsid w:val="00041327"/>
    <w:rsid w:val="00045EA1"/>
    <w:rsid w:val="000542AF"/>
    <w:rsid w:val="00065FB2"/>
    <w:rsid w:val="00067E77"/>
    <w:rsid w:val="000753EB"/>
    <w:rsid w:val="00083E76"/>
    <w:rsid w:val="000A1CAB"/>
    <w:rsid w:val="000A7947"/>
    <w:rsid w:val="000B1566"/>
    <w:rsid w:val="000C023B"/>
    <w:rsid w:val="000C1493"/>
    <w:rsid w:val="000C3515"/>
    <w:rsid w:val="000D1623"/>
    <w:rsid w:val="000D7DDC"/>
    <w:rsid w:val="000F6C93"/>
    <w:rsid w:val="001024D2"/>
    <w:rsid w:val="00104016"/>
    <w:rsid w:val="00121A57"/>
    <w:rsid w:val="001223A1"/>
    <w:rsid w:val="00131551"/>
    <w:rsid w:val="00142142"/>
    <w:rsid w:val="00144313"/>
    <w:rsid w:val="00163A60"/>
    <w:rsid w:val="00166BD5"/>
    <w:rsid w:val="0016796F"/>
    <w:rsid w:val="00175BEB"/>
    <w:rsid w:val="001811B3"/>
    <w:rsid w:val="00183B08"/>
    <w:rsid w:val="00194DEE"/>
    <w:rsid w:val="001A7D0B"/>
    <w:rsid w:val="001B48A3"/>
    <w:rsid w:val="001C2DC8"/>
    <w:rsid w:val="001D1DEF"/>
    <w:rsid w:val="001D2942"/>
    <w:rsid w:val="001D5BB5"/>
    <w:rsid w:val="001F109D"/>
    <w:rsid w:val="001F1233"/>
    <w:rsid w:val="001F44A0"/>
    <w:rsid w:val="002030F5"/>
    <w:rsid w:val="00234616"/>
    <w:rsid w:val="00243291"/>
    <w:rsid w:val="0024453F"/>
    <w:rsid w:val="002505DD"/>
    <w:rsid w:val="00251ACD"/>
    <w:rsid w:val="002778D9"/>
    <w:rsid w:val="0028675E"/>
    <w:rsid w:val="00287369"/>
    <w:rsid w:val="002876F2"/>
    <w:rsid w:val="002B2930"/>
    <w:rsid w:val="002C571F"/>
    <w:rsid w:val="002C6331"/>
    <w:rsid w:val="002D5250"/>
    <w:rsid w:val="002F04B0"/>
    <w:rsid w:val="00306207"/>
    <w:rsid w:val="003075AA"/>
    <w:rsid w:val="003207EE"/>
    <w:rsid w:val="00323918"/>
    <w:rsid w:val="00336C47"/>
    <w:rsid w:val="00355877"/>
    <w:rsid w:val="00377847"/>
    <w:rsid w:val="00381B71"/>
    <w:rsid w:val="003841C3"/>
    <w:rsid w:val="0039572A"/>
    <w:rsid w:val="0039778A"/>
    <w:rsid w:val="003A0382"/>
    <w:rsid w:val="003A0E9B"/>
    <w:rsid w:val="003B322B"/>
    <w:rsid w:val="003B5E77"/>
    <w:rsid w:val="003C0C1D"/>
    <w:rsid w:val="003C4AA2"/>
    <w:rsid w:val="003D3649"/>
    <w:rsid w:val="003E21A0"/>
    <w:rsid w:val="00403190"/>
    <w:rsid w:val="00421424"/>
    <w:rsid w:val="0042519F"/>
    <w:rsid w:val="00433141"/>
    <w:rsid w:val="004343B6"/>
    <w:rsid w:val="0044359F"/>
    <w:rsid w:val="00444247"/>
    <w:rsid w:val="004455FC"/>
    <w:rsid w:val="00445994"/>
    <w:rsid w:val="0044680D"/>
    <w:rsid w:val="00467BF5"/>
    <w:rsid w:val="00473BBD"/>
    <w:rsid w:val="004853B2"/>
    <w:rsid w:val="00494279"/>
    <w:rsid w:val="004A746F"/>
    <w:rsid w:val="004B6A31"/>
    <w:rsid w:val="004B73AF"/>
    <w:rsid w:val="004D3058"/>
    <w:rsid w:val="004F1F8D"/>
    <w:rsid w:val="00501C83"/>
    <w:rsid w:val="00507FC7"/>
    <w:rsid w:val="00525F95"/>
    <w:rsid w:val="005350DC"/>
    <w:rsid w:val="00547FCA"/>
    <w:rsid w:val="005540E3"/>
    <w:rsid w:val="00563DF4"/>
    <w:rsid w:val="00584749"/>
    <w:rsid w:val="00596477"/>
    <w:rsid w:val="005A4872"/>
    <w:rsid w:val="005C6C9A"/>
    <w:rsid w:val="005E23F4"/>
    <w:rsid w:val="006016D3"/>
    <w:rsid w:val="006033BB"/>
    <w:rsid w:val="00604173"/>
    <w:rsid w:val="006044F4"/>
    <w:rsid w:val="00605AD7"/>
    <w:rsid w:val="006100DF"/>
    <w:rsid w:val="00615CB3"/>
    <w:rsid w:val="00620F61"/>
    <w:rsid w:val="00627383"/>
    <w:rsid w:val="00630F56"/>
    <w:rsid w:val="00631CBA"/>
    <w:rsid w:val="006358FC"/>
    <w:rsid w:val="00637B47"/>
    <w:rsid w:val="00644B18"/>
    <w:rsid w:val="00655910"/>
    <w:rsid w:val="00661998"/>
    <w:rsid w:val="006640E1"/>
    <w:rsid w:val="00664ADC"/>
    <w:rsid w:val="00672CD5"/>
    <w:rsid w:val="00674A7A"/>
    <w:rsid w:val="00674C62"/>
    <w:rsid w:val="00680198"/>
    <w:rsid w:val="00683394"/>
    <w:rsid w:val="00685158"/>
    <w:rsid w:val="00692C4E"/>
    <w:rsid w:val="006A20E3"/>
    <w:rsid w:val="006A6A6D"/>
    <w:rsid w:val="006B70DB"/>
    <w:rsid w:val="006C26C0"/>
    <w:rsid w:val="006E22BB"/>
    <w:rsid w:val="006F06B3"/>
    <w:rsid w:val="006F30EC"/>
    <w:rsid w:val="00701B0F"/>
    <w:rsid w:val="00705541"/>
    <w:rsid w:val="007105AF"/>
    <w:rsid w:val="007213EC"/>
    <w:rsid w:val="0072498D"/>
    <w:rsid w:val="007574D1"/>
    <w:rsid w:val="0078485B"/>
    <w:rsid w:val="007C424E"/>
    <w:rsid w:val="007C79C1"/>
    <w:rsid w:val="007D079E"/>
    <w:rsid w:val="007E044A"/>
    <w:rsid w:val="007F7C90"/>
    <w:rsid w:val="0080655D"/>
    <w:rsid w:val="008357D2"/>
    <w:rsid w:val="0084459D"/>
    <w:rsid w:val="00855503"/>
    <w:rsid w:val="0086113C"/>
    <w:rsid w:val="00861721"/>
    <w:rsid w:val="00863C03"/>
    <w:rsid w:val="0086623D"/>
    <w:rsid w:val="00894812"/>
    <w:rsid w:val="0089596D"/>
    <w:rsid w:val="00895EEB"/>
    <w:rsid w:val="008A2773"/>
    <w:rsid w:val="008A6844"/>
    <w:rsid w:val="008B17CC"/>
    <w:rsid w:val="008B1948"/>
    <w:rsid w:val="008C7AEF"/>
    <w:rsid w:val="008D45E1"/>
    <w:rsid w:val="008E46D5"/>
    <w:rsid w:val="00903D07"/>
    <w:rsid w:val="0090454F"/>
    <w:rsid w:val="00906146"/>
    <w:rsid w:val="00914AC5"/>
    <w:rsid w:val="00930F0F"/>
    <w:rsid w:val="00932442"/>
    <w:rsid w:val="00932475"/>
    <w:rsid w:val="009575FA"/>
    <w:rsid w:val="00960D03"/>
    <w:rsid w:val="00986851"/>
    <w:rsid w:val="00993AC6"/>
    <w:rsid w:val="00997B6D"/>
    <w:rsid w:val="009C297D"/>
    <w:rsid w:val="009D1B38"/>
    <w:rsid w:val="009E3F5D"/>
    <w:rsid w:val="009E4F82"/>
    <w:rsid w:val="009E75D1"/>
    <w:rsid w:val="00A10122"/>
    <w:rsid w:val="00A33344"/>
    <w:rsid w:val="00A370B3"/>
    <w:rsid w:val="00A43CD9"/>
    <w:rsid w:val="00A548DD"/>
    <w:rsid w:val="00A57F9E"/>
    <w:rsid w:val="00A659AE"/>
    <w:rsid w:val="00A74616"/>
    <w:rsid w:val="00A769D0"/>
    <w:rsid w:val="00A80DD3"/>
    <w:rsid w:val="00AA05E2"/>
    <w:rsid w:val="00AA2566"/>
    <w:rsid w:val="00AA773D"/>
    <w:rsid w:val="00AC01D1"/>
    <w:rsid w:val="00AC7DF5"/>
    <w:rsid w:val="00AD3336"/>
    <w:rsid w:val="00AD5BFB"/>
    <w:rsid w:val="00AD649A"/>
    <w:rsid w:val="00AE0336"/>
    <w:rsid w:val="00AE35A5"/>
    <w:rsid w:val="00B05876"/>
    <w:rsid w:val="00B07B5F"/>
    <w:rsid w:val="00B20CC9"/>
    <w:rsid w:val="00B25368"/>
    <w:rsid w:val="00B31355"/>
    <w:rsid w:val="00B502E2"/>
    <w:rsid w:val="00B506CA"/>
    <w:rsid w:val="00B52061"/>
    <w:rsid w:val="00B5249C"/>
    <w:rsid w:val="00B56F11"/>
    <w:rsid w:val="00B80A45"/>
    <w:rsid w:val="00B84A3C"/>
    <w:rsid w:val="00B91288"/>
    <w:rsid w:val="00BA73EF"/>
    <w:rsid w:val="00BA7948"/>
    <w:rsid w:val="00BB26C3"/>
    <w:rsid w:val="00BB2D79"/>
    <w:rsid w:val="00BD061B"/>
    <w:rsid w:val="00BD1184"/>
    <w:rsid w:val="00BD2E5D"/>
    <w:rsid w:val="00BD6DA7"/>
    <w:rsid w:val="00BF3D29"/>
    <w:rsid w:val="00BF3E5A"/>
    <w:rsid w:val="00C07F9E"/>
    <w:rsid w:val="00C140F9"/>
    <w:rsid w:val="00C25CB5"/>
    <w:rsid w:val="00C317C2"/>
    <w:rsid w:val="00C32786"/>
    <w:rsid w:val="00C3584A"/>
    <w:rsid w:val="00C4709F"/>
    <w:rsid w:val="00C56757"/>
    <w:rsid w:val="00C654BF"/>
    <w:rsid w:val="00C70501"/>
    <w:rsid w:val="00C75518"/>
    <w:rsid w:val="00C82687"/>
    <w:rsid w:val="00C83526"/>
    <w:rsid w:val="00C855C3"/>
    <w:rsid w:val="00C879DF"/>
    <w:rsid w:val="00C91A64"/>
    <w:rsid w:val="00CA659C"/>
    <w:rsid w:val="00CB35C7"/>
    <w:rsid w:val="00CB3BE8"/>
    <w:rsid w:val="00CB45AC"/>
    <w:rsid w:val="00CB461B"/>
    <w:rsid w:val="00CC093C"/>
    <w:rsid w:val="00CD17C9"/>
    <w:rsid w:val="00CD7A78"/>
    <w:rsid w:val="00CF2ADC"/>
    <w:rsid w:val="00CF54A6"/>
    <w:rsid w:val="00D04047"/>
    <w:rsid w:val="00D07722"/>
    <w:rsid w:val="00D20247"/>
    <w:rsid w:val="00D22450"/>
    <w:rsid w:val="00D40316"/>
    <w:rsid w:val="00D86C02"/>
    <w:rsid w:val="00DA7196"/>
    <w:rsid w:val="00DC1F85"/>
    <w:rsid w:val="00DD1CE6"/>
    <w:rsid w:val="00DE6923"/>
    <w:rsid w:val="00E12288"/>
    <w:rsid w:val="00E15676"/>
    <w:rsid w:val="00E273E4"/>
    <w:rsid w:val="00E308D6"/>
    <w:rsid w:val="00E3265E"/>
    <w:rsid w:val="00E454A3"/>
    <w:rsid w:val="00E45C37"/>
    <w:rsid w:val="00E4605A"/>
    <w:rsid w:val="00E515BB"/>
    <w:rsid w:val="00E5665E"/>
    <w:rsid w:val="00E56CC6"/>
    <w:rsid w:val="00E576FA"/>
    <w:rsid w:val="00E73929"/>
    <w:rsid w:val="00E82ACD"/>
    <w:rsid w:val="00EA435A"/>
    <w:rsid w:val="00EC5F06"/>
    <w:rsid w:val="00ED0DFD"/>
    <w:rsid w:val="00EF0FD4"/>
    <w:rsid w:val="00EF293E"/>
    <w:rsid w:val="00EF49FB"/>
    <w:rsid w:val="00F00578"/>
    <w:rsid w:val="00F01E4F"/>
    <w:rsid w:val="00F11374"/>
    <w:rsid w:val="00F150D1"/>
    <w:rsid w:val="00F15526"/>
    <w:rsid w:val="00F16B5C"/>
    <w:rsid w:val="00F21423"/>
    <w:rsid w:val="00F2376C"/>
    <w:rsid w:val="00F2557B"/>
    <w:rsid w:val="00F27D75"/>
    <w:rsid w:val="00F32272"/>
    <w:rsid w:val="00F34C79"/>
    <w:rsid w:val="00F40A28"/>
    <w:rsid w:val="00F412E7"/>
    <w:rsid w:val="00F41546"/>
    <w:rsid w:val="00F55648"/>
    <w:rsid w:val="00F621A2"/>
    <w:rsid w:val="00FA6553"/>
    <w:rsid w:val="00FB089B"/>
    <w:rsid w:val="00FB39C7"/>
    <w:rsid w:val="00FB5089"/>
    <w:rsid w:val="00FB6234"/>
    <w:rsid w:val="00FB7F41"/>
    <w:rsid w:val="00FC62CC"/>
    <w:rsid w:val="00FD14F4"/>
    <w:rsid w:val="00FD549F"/>
    <w:rsid w:val="00FE2B47"/>
    <w:rsid w:val="00FE2E42"/>
    <w:rsid w:val="00FE3252"/>
    <w:rsid w:val="00FE48BD"/>
    <w:rsid w:val="00FF78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7CE33A"/>
  <w14:defaultImageDpi w14:val="0"/>
  <w15:docId w15:val="{9496881F-5AC8-4FC2-A9C6-63DC0A3A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PMingLiU" w:eastAsia="PMingLiU" w:hAnsi="Times New Roman" w:cs="PMingLiU"/>
      <w:kern w:val="0"/>
      <w:sz w:val="22"/>
      <w:szCs w:val="22"/>
      <w:lang w:eastAsia="zh-TW"/>
    </w:rPr>
  </w:style>
  <w:style w:type="paragraph" w:styleId="Heading1">
    <w:name w:val="heading 1"/>
    <w:basedOn w:val="Normal"/>
    <w:link w:val="Heading1Char"/>
    <w:uiPriority w:val="9"/>
    <w:qFormat/>
    <w:rsid w:val="00F412E7"/>
    <w:pPr>
      <w:adjustRightInd/>
      <w:ind w:left="171"/>
      <w:jc w:val="both"/>
      <w:outlineLvl w:val="0"/>
    </w:pPr>
    <w:rPr>
      <w:rFonts w:ascii="Times New Roman" w:eastAsiaTheme="minorEastAsia" w:cs="Times New Roman"/>
      <w:b/>
      <w:bCs/>
      <w:sz w:val="24"/>
      <w:szCs w:val="24"/>
      <w:lang w:eastAsia="en-US"/>
    </w:rPr>
  </w:style>
  <w:style w:type="paragraph" w:styleId="Heading2">
    <w:name w:val="heading 2"/>
    <w:basedOn w:val="Normal"/>
    <w:next w:val="Normal"/>
    <w:link w:val="Heading2Char"/>
    <w:uiPriority w:val="9"/>
    <w:semiHidden/>
    <w:unhideWhenUsed/>
    <w:qFormat/>
    <w:rsid w:val="00AE0336"/>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AE0336"/>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412E7"/>
    <w:rPr>
      <w:rFonts w:ascii="Times New Roman" w:hAnsi="Times New Roman" w:cs="Times New Roman"/>
      <w:b/>
      <w:bCs/>
      <w:kern w:val="0"/>
      <w:sz w:val="24"/>
      <w:szCs w:val="24"/>
      <w:lang w:val="x-none" w:eastAsia="en-US"/>
    </w:rPr>
  </w:style>
  <w:style w:type="character" w:customStyle="1" w:styleId="Heading2Char">
    <w:name w:val="Heading 2 Char"/>
    <w:basedOn w:val="DefaultParagraphFont"/>
    <w:link w:val="Heading2"/>
    <w:uiPriority w:val="9"/>
    <w:semiHidden/>
    <w:locked/>
    <w:rsid w:val="00AE0336"/>
    <w:rPr>
      <w:rFonts w:asciiTheme="majorHAnsi" w:eastAsiaTheme="majorEastAsia" w:hAnsiTheme="majorHAnsi" w:cs="Times New Roman"/>
      <w:b/>
      <w:bCs/>
      <w:i/>
      <w:iCs/>
      <w:kern w:val="0"/>
      <w:sz w:val="28"/>
      <w:szCs w:val="28"/>
      <w:lang w:val="x-none" w:eastAsia="zh-TW"/>
    </w:rPr>
  </w:style>
  <w:style w:type="character" w:customStyle="1" w:styleId="Heading3Char">
    <w:name w:val="Heading 3 Char"/>
    <w:basedOn w:val="DefaultParagraphFont"/>
    <w:link w:val="Heading3"/>
    <w:uiPriority w:val="9"/>
    <w:semiHidden/>
    <w:locked/>
    <w:rsid w:val="00AE0336"/>
    <w:rPr>
      <w:rFonts w:asciiTheme="majorHAnsi" w:eastAsiaTheme="majorEastAsia" w:hAnsiTheme="majorHAnsi" w:cs="Times New Roman"/>
      <w:b/>
      <w:bCs/>
      <w:kern w:val="0"/>
      <w:sz w:val="26"/>
      <w:szCs w:val="26"/>
      <w:lang w:val="x-none" w:eastAsia="zh-TW"/>
    </w:rPr>
  </w:style>
  <w:style w:type="table" w:styleId="TableGrid">
    <w:name w:val="Table Grid"/>
    <w:basedOn w:val="TableNormal"/>
    <w:uiPriority w:val="39"/>
    <w:rsid w:val="00F412E7"/>
    <w:pPr>
      <w:widowControl w:val="0"/>
      <w:autoSpaceDE w:val="0"/>
      <w:autoSpaceDN w:val="0"/>
    </w:pPr>
    <w:rPr>
      <w:rFonts w:eastAsia="PMingLiU"/>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Pr>
      <w:sz w:val="26"/>
      <w:szCs w:val="26"/>
    </w:rPr>
  </w:style>
  <w:style w:type="character" w:customStyle="1" w:styleId="BodyTextChar">
    <w:name w:val="Body Text Char"/>
    <w:basedOn w:val="DefaultParagraphFont"/>
    <w:link w:val="BodyText"/>
    <w:uiPriority w:val="1"/>
    <w:semiHidden/>
    <w:locked/>
    <w:rPr>
      <w:rFonts w:ascii="PMingLiU" w:eastAsia="PMingLiU" w:hAnsi="Times New Roman" w:cs="PMingLiU"/>
      <w:kern w:val="0"/>
      <w:sz w:val="22"/>
    </w:rPr>
  </w:style>
  <w:style w:type="paragraph" w:styleId="Title">
    <w:name w:val="Title"/>
    <w:basedOn w:val="Normal"/>
    <w:next w:val="Normal"/>
    <w:link w:val="TitleChar"/>
    <w:uiPriority w:val="1"/>
    <w:qFormat/>
    <w:pPr>
      <w:spacing w:before="21"/>
      <w:ind w:left="829" w:right="1382"/>
      <w:jc w:val="center"/>
    </w:pPr>
    <w:rPr>
      <w:rFonts w:ascii="Times New Roman" w:eastAsiaTheme="minorEastAsia" w:cs="Times New Roman"/>
      <w:b/>
      <w:bCs/>
      <w:sz w:val="36"/>
      <w:szCs w:val="36"/>
    </w:rPr>
  </w:style>
  <w:style w:type="character" w:customStyle="1" w:styleId="TitleChar">
    <w:name w:val="Title Char"/>
    <w:basedOn w:val="DefaultParagraphFont"/>
    <w:link w:val="Title"/>
    <w:uiPriority w:val="10"/>
    <w:locked/>
    <w:rPr>
      <w:rFonts w:asciiTheme="majorHAnsi" w:eastAsia="PMingLiU" w:hAnsiTheme="majorHAnsi" w:cs="Times New Roman"/>
      <w:b/>
      <w:bCs/>
      <w:kern w:val="0"/>
      <w:sz w:val="32"/>
      <w:szCs w:val="32"/>
    </w:rPr>
  </w:style>
  <w:style w:type="paragraph" w:styleId="ListParagraph">
    <w:name w:val="List Paragraph"/>
    <w:basedOn w:val="Normal"/>
    <w:uiPriority w:val="1"/>
    <w:qFormat/>
    <w:rPr>
      <w:rFonts w:ascii="Times New Roman" w:eastAsiaTheme="minorEastAsia" w:cs="Times New Roman"/>
      <w:sz w:val="24"/>
      <w:szCs w:val="24"/>
    </w:rPr>
  </w:style>
  <w:style w:type="paragraph" w:customStyle="1" w:styleId="TableParagraph">
    <w:name w:val="Table Paragraph"/>
    <w:basedOn w:val="Normal"/>
    <w:uiPriority w:val="1"/>
    <w:qFormat/>
    <w:rPr>
      <w:rFonts w:ascii="Times New Roman" w:eastAsiaTheme="minorEastAsia" w:cs="Times New Roman"/>
      <w:sz w:val="24"/>
      <w:szCs w:val="24"/>
    </w:rPr>
  </w:style>
  <w:style w:type="paragraph" w:styleId="Header">
    <w:name w:val="header"/>
    <w:basedOn w:val="Normal"/>
    <w:link w:val="HeaderChar"/>
    <w:uiPriority w:val="99"/>
    <w:unhideWhenUsed/>
    <w:rsid w:val="00F412E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412E7"/>
    <w:rPr>
      <w:rFonts w:ascii="PMingLiU" w:eastAsia="PMingLiU" w:hAnsi="Times New Roman" w:cs="PMingLiU"/>
      <w:kern w:val="0"/>
      <w:sz w:val="20"/>
      <w:szCs w:val="20"/>
    </w:rPr>
  </w:style>
  <w:style w:type="paragraph" w:styleId="Footer">
    <w:name w:val="footer"/>
    <w:basedOn w:val="Normal"/>
    <w:link w:val="FooterChar"/>
    <w:uiPriority w:val="99"/>
    <w:unhideWhenUsed/>
    <w:rsid w:val="00F412E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412E7"/>
    <w:rPr>
      <w:rFonts w:ascii="PMingLiU" w:eastAsia="PMingLiU" w:hAnsi="Times New Roman" w:cs="PMingLiU"/>
      <w:kern w:val="0"/>
      <w:sz w:val="20"/>
      <w:szCs w:val="20"/>
    </w:rPr>
  </w:style>
  <w:style w:type="paragraph" w:styleId="FootnoteText">
    <w:name w:val="footnote text"/>
    <w:basedOn w:val="Normal"/>
    <w:link w:val="FootnoteTextChar"/>
    <w:uiPriority w:val="99"/>
    <w:semiHidden/>
    <w:unhideWhenUsed/>
    <w:rsid w:val="00C140F9"/>
    <w:pPr>
      <w:snapToGrid w:val="0"/>
    </w:pPr>
    <w:rPr>
      <w:sz w:val="20"/>
      <w:szCs w:val="20"/>
    </w:rPr>
  </w:style>
  <w:style w:type="character" w:customStyle="1" w:styleId="FootnoteTextChar">
    <w:name w:val="Footnote Text Char"/>
    <w:basedOn w:val="DefaultParagraphFont"/>
    <w:link w:val="FootnoteText"/>
    <w:uiPriority w:val="99"/>
    <w:semiHidden/>
    <w:locked/>
    <w:rsid w:val="00C140F9"/>
    <w:rPr>
      <w:rFonts w:ascii="PMingLiU" w:eastAsia="PMingLiU" w:hAnsi="Times New Roman" w:cs="PMingLiU"/>
      <w:kern w:val="0"/>
      <w:sz w:val="20"/>
      <w:szCs w:val="20"/>
    </w:rPr>
  </w:style>
  <w:style w:type="character" w:styleId="FootnoteReference">
    <w:name w:val="footnote reference"/>
    <w:basedOn w:val="DefaultParagraphFont"/>
    <w:uiPriority w:val="99"/>
    <w:semiHidden/>
    <w:unhideWhenUsed/>
    <w:rsid w:val="00C140F9"/>
    <w:rPr>
      <w:rFonts w:cs="Times New Roman"/>
      <w:vertAlign w:val="superscript"/>
    </w:rPr>
  </w:style>
  <w:style w:type="paragraph" w:styleId="Revision">
    <w:name w:val="Revision"/>
    <w:hidden/>
    <w:uiPriority w:val="99"/>
    <w:semiHidden/>
    <w:rsid w:val="00A33344"/>
    <w:rPr>
      <w:rFonts w:ascii="PMingLiU" w:eastAsia="PMingLiU" w:hAnsi="Times New Roman" w:cs="PMingLiU"/>
      <w:kern w:val="0"/>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4848">
      <w:bodyDiv w:val="1"/>
      <w:marLeft w:val="0"/>
      <w:marRight w:val="0"/>
      <w:marTop w:val="0"/>
      <w:marBottom w:val="0"/>
      <w:divBdr>
        <w:top w:val="none" w:sz="0" w:space="0" w:color="auto"/>
        <w:left w:val="none" w:sz="0" w:space="0" w:color="auto"/>
        <w:bottom w:val="none" w:sz="0" w:space="0" w:color="auto"/>
        <w:right w:val="none" w:sz="0" w:space="0" w:color="auto"/>
      </w:divBdr>
    </w:div>
    <w:div w:id="237831956">
      <w:bodyDiv w:val="1"/>
      <w:marLeft w:val="0"/>
      <w:marRight w:val="0"/>
      <w:marTop w:val="0"/>
      <w:marBottom w:val="0"/>
      <w:divBdr>
        <w:top w:val="none" w:sz="0" w:space="0" w:color="auto"/>
        <w:left w:val="none" w:sz="0" w:space="0" w:color="auto"/>
        <w:bottom w:val="none" w:sz="0" w:space="0" w:color="auto"/>
        <w:right w:val="none" w:sz="0" w:space="0" w:color="auto"/>
      </w:divBdr>
    </w:div>
    <w:div w:id="510070286">
      <w:marLeft w:val="0"/>
      <w:marRight w:val="0"/>
      <w:marTop w:val="0"/>
      <w:marBottom w:val="0"/>
      <w:divBdr>
        <w:top w:val="none" w:sz="0" w:space="0" w:color="auto"/>
        <w:left w:val="none" w:sz="0" w:space="0" w:color="auto"/>
        <w:bottom w:val="none" w:sz="0" w:space="0" w:color="auto"/>
        <w:right w:val="none" w:sz="0" w:space="0" w:color="auto"/>
      </w:divBdr>
    </w:div>
    <w:div w:id="510070287">
      <w:marLeft w:val="0"/>
      <w:marRight w:val="0"/>
      <w:marTop w:val="0"/>
      <w:marBottom w:val="0"/>
      <w:divBdr>
        <w:top w:val="none" w:sz="0" w:space="0" w:color="auto"/>
        <w:left w:val="none" w:sz="0" w:space="0" w:color="auto"/>
        <w:bottom w:val="none" w:sz="0" w:space="0" w:color="auto"/>
        <w:right w:val="none" w:sz="0" w:space="0" w:color="auto"/>
      </w:divBdr>
      <w:divsChild>
        <w:div w:id="510070283">
          <w:marLeft w:val="0"/>
          <w:marRight w:val="0"/>
          <w:marTop w:val="100"/>
          <w:marBottom w:val="0"/>
          <w:divBdr>
            <w:top w:val="none" w:sz="0" w:space="0" w:color="auto"/>
            <w:left w:val="none" w:sz="0" w:space="0" w:color="auto"/>
            <w:bottom w:val="none" w:sz="0" w:space="0" w:color="auto"/>
            <w:right w:val="none" w:sz="0" w:space="0" w:color="auto"/>
          </w:divBdr>
        </w:div>
        <w:div w:id="510070284">
          <w:marLeft w:val="0"/>
          <w:marRight w:val="0"/>
          <w:marTop w:val="0"/>
          <w:marBottom w:val="0"/>
          <w:divBdr>
            <w:top w:val="none" w:sz="0" w:space="0" w:color="auto"/>
            <w:left w:val="none" w:sz="0" w:space="0" w:color="auto"/>
            <w:bottom w:val="none" w:sz="0" w:space="0" w:color="auto"/>
            <w:right w:val="none" w:sz="0" w:space="0" w:color="auto"/>
          </w:divBdr>
          <w:divsChild>
            <w:div w:id="510070282">
              <w:marLeft w:val="0"/>
              <w:marRight w:val="0"/>
              <w:marTop w:val="0"/>
              <w:marBottom w:val="0"/>
              <w:divBdr>
                <w:top w:val="none" w:sz="0" w:space="0" w:color="auto"/>
                <w:left w:val="none" w:sz="0" w:space="0" w:color="auto"/>
                <w:bottom w:val="none" w:sz="0" w:space="0" w:color="auto"/>
                <w:right w:val="none" w:sz="0" w:space="0" w:color="auto"/>
              </w:divBdr>
              <w:divsChild>
                <w:div w:id="510070285">
                  <w:marLeft w:val="0"/>
                  <w:marRight w:val="0"/>
                  <w:marTop w:val="0"/>
                  <w:marBottom w:val="0"/>
                  <w:divBdr>
                    <w:top w:val="none" w:sz="0" w:space="0" w:color="auto"/>
                    <w:left w:val="none" w:sz="0" w:space="0" w:color="auto"/>
                    <w:bottom w:val="none" w:sz="0" w:space="0" w:color="auto"/>
                    <w:right w:val="none" w:sz="0" w:space="0" w:color="auto"/>
                  </w:divBdr>
                  <w:divsChild>
                    <w:div w:id="5100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hkexnews.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tcher-group.com&#21002;&#366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9D4C1-BFD3-4ADE-B54A-A5DC3612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Hatcher - Inside Information_Disposal of Shares by Substantial Shareholder_C</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Hatcher - Inside Information_Disposal of Shares by Substantial Shareholder_C</dc:title>
  <dc:subject/>
  <dc:creator>Pes Lau</dc:creator>
  <cp:keywords/>
  <dc:description/>
  <cp:lastModifiedBy>VBG</cp:lastModifiedBy>
  <cp:revision>173</cp:revision>
  <cp:lastPrinted>2023-01-13T13:51:00Z</cp:lastPrinted>
  <dcterms:created xsi:type="dcterms:W3CDTF">2024-02-22T13:57:00Z</dcterms:created>
  <dcterms:modified xsi:type="dcterms:W3CDTF">2024-02-24T07:41:00Z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Producer">
    <vt:lpwstr>macOS Version 13.1 (Build 22C65) Quartz PDFContext</vt:lpwstr>
  </property>
  <property fmtid="{D5CDD505-2E9C-101B-9397-08002B2CF9AE}" pid="4" name="GrammarlyDocumentId">
    <vt:lpwstr>b1655ca8ac65416b7e2f6d630ba6443e23363ff0d7df913e8c49241fd15ae714</vt:lpwstr>
  </property>
</Properties>
</file>