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9BFC1CF" w14:textId="77777777" w:rsidR="003B5718" w:rsidRDefault="00000000">
      <w:pPr>
        <w:spacing w:after="160"/>
        <w:jc w:val="both"/>
      </w:pPr>
      <w:r>
        <w:rPr>
          <w:rFonts w:eastAsia="Times New Roman"/>
          <w:sz w:val="16"/>
          <w:szCs w:val="16"/>
        </w:rPr>
        <w:t>Hong Kong Exchanges and Clearing Limited and The Stock Exchange of Hong Kong Limited take no responsibility for the contents of this announcement, make no representation as to its accuracy or completeness and expressly disclaim any liability whatsoever for any loss howsoever arising from or in reliance upon the whole or any part of the contents of this announcement.</w:t>
      </w:r>
    </w:p>
    <w:p w14:paraId="7C7B0181" w14:textId="77777777" w:rsidR="003B5718" w:rsidRDefault="00000000">
      <w:pPr>
        <w:spacing w:after="80"/>
        <w:jc w:val="both"/>
      </w:pPr>
      <w:r>
        <w:rPr>
          <w:rFonts w:eastAsia="Times New Roman"/>
          <w:sz w:val="16"/>
          <w:szCs w:val="16"/>
        </w:rPr>
        <w:t xml:space="preserve">This announcement appears for information purposes only and does not constitute an invitation or offer to acquire, </w:t>
      </w:r>
      <w:proofErr w:type="gramStart"/>
      <w:r>
        <w:rPr>
          <w:rFonts w:eastAsia="Times New Roman"/>
          <w:sz w:val="16"/>
          <w:szCs w:val="16"/>
        </w:rPr>
        <w:t>purchase</w:t>
      </w:r>
      <w:proofErr w:type="gramEnd"/>
      <w:r>
        <w:rPr>
          <w:rFonts w:eastAsia="Times New Roman"/>
          <w:sz w:val="16"/>
          <w:szCs w:val="16"/>
        </w:rPr>
        <w:t xml:space="preserve"> or subscribe for any securities of the Company.</w:t>
      </w:r>
    </w:p>
    <w:p w14:paraId="15F5B3DE" w14:textId="77777777" w:rsidR="003B5718" w:rsidRDefault="00000000">
      <w:pPr>
        <w:spacing w:before="200" w:after="80"/>
        <w:jc w:val="center"/>
      </w:pPr>
      <w:r>
        <w:rPr>
          <w:noProof/>
        </w:rPr>
        <w:drawing>
          <wp:inline distT="0" distB="0" distL="0" distR="0" wp14:anchorId="1D52272F" wp14:editId="73B5EF8B">
            <wp:extent cx="742950" cy="666750"/>
            <wp:effectExtent l="0" t="0" r="0" b="0"/>
            <wp:docPr id="1"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742950" cy="666750"/>
                    </a:xfrm>
                    <a:prstGeom prst="rect">
                      <a:avLst/>
                    </a:prstGeom>
                  </pic:spPr>
                </pic:pic>
              </a:graphicData>
            </a:graphic>
          </wp:inline>
        </w:drawing>
      </w:r>
    </w:p>
    <w:p w14:paraId="0E0204D2" w14:textId="77777777" w:rsidR="003B5718" w:rsidRDefault="00000000">
      <w:pPr>
        <w:spacing w:after="40" w:line="276" w:lineRule="auto"/>
        <w:jc w:val="center"/>
      </w:pPr>
      <w:proofErr w:type="spellStart"/>
      <w:r>
        <w:rPr>
          <w:rFonts w:eastAsia="Times New Roman"/>
          <w:b/>
          <w:bCs/>
          <w:sz w:val="28"/>
          <w:szCs w:val="28"/>
        </w:rPr>
        <w:t>世大控股有限公司</w:t>
      </w:r>
      <w:proofErr w:type="spellEnd"/>
    </w:p>
    <w:p w14:paraId="7E7FB677" w14:textId="77777777" w:rsidR="003B5718" w:rsidRDefault="00000000">
      <w:pPr>
        <w:spacing w:after="40" w:line="276" w:lineRule="auto"/>
        <w:jc w:val="center"/>
      </w:pPr>
      <w:r>
        <w:rPr>
          <w:rFonts w:eastAsia="Times New Roman"/>
          <w:b/>
          <w:bCs/>
          <w:sz w:val="28"/>
          <w:szCs w:val="28"/>
        </w:rPr>
        <w:t>GREAT WORLD COMPANY HOLDINGS LTD</w:t>
      </w:r>
    </w:p>
    <w:p w14:paraId="0487ECB1" w14:textId="1425AB71" w:rsidR="003B5718" w:rsidRDefault="00000000">
      <w:pPr>
        <w:spacing w:after="20"/>
        <w:jc w:val="center"/>
        <w:rPr>
          <w:rFonts w:eastAsia="Times New Roman"/>
          <w:i/>
          <w:iCs/>
          <w:sz w:val="20"/>
          <w:szCs w:val="20"/>
        </w:rPr>
      </w:pPr>
      <w:r>
        <w:rPr>
          <w:rFonts w:eastAsia="Times New Roman"/>
          <w:i/>
          <w:iCs/>
          <w:sz w:val="20"/>
          <w:szCs w:val="20"/>
        </w:rPr>
        <w:t>(Incorporated in the Cayman Islands with limited liability)</w:t>
      </w:r>
    </w:p>
    <w:p w14:paraId="042EC401" w14:textId="2259C79E" w:rsidR="0041747E" w:rsidRPr="00923011" w:rsidRDefault="00923011">
      <w:pPr>
        <w:spacing w:after="20"/>
        <w:jc w:val="center"/>
        <w:rPr>
          <w:sz w:val="28"/>
          <w:szCs w:val="28"/>
        </w:rPr>
      </w:pPr>
      <w:r w:rsidRPr="00923011">
        <w:rPr>
          <w:sz w:val="28"/>
          <w:szCs w:val="28"/>
        </w:rPr>
        <w:t>(Stock code 8003)</w:t>
      </w:r>
    </w:p>
    <w:p w14:paraId="694BBF21" w14:textId="77777777" w:rsidR="00923011" w:rsidRPr="00923011" w:rsidRDefault="00923011">
      <w:pPr>
        <w:spacing w:after="20"/>
        <w:jc w:val="center"/>
        <w:rPr>
          <w:rFonts w:eastAsia="DengXian" w:hint="eastAsia"/>
          <w:lang w:eastAsia="zh-CN"/>
        </w:rPr>
      </w:pPr>
    </w:p>
    <w:p w14:paraId="175805CD" w14:textId="77777777" w:rsidR="0041747E" w:rsidRDefault="0041747E" w:rsidP="0041747E">
      <w:pPr>
        <w:spacing w:after="40"/>
        <w:jc w:val="center"/>
      </w:pPr>
      <w:r>
        <w:rPr>
          <w:rFonts w:eastAsia="新細明體"/>
          <w:b/>
          <w:bCs/>
          <w:color w:val="000000"/>
          <w:sz w:val="24"/>
          <w:szCs w:val="24"/>
        </w:rPr>
        <w:t>SUPPLEMENTAL ANNOUNCEMENT TO THE AGM CIRCULAR</w:t>
      </w:r>
    </w:p>
    <w:p w14:paraId="26E339F4" w14:textId="342F8068" w:rsidR="0041747E" w:rsidRDefault="0041747E" w:rsidP="0041747E">
      <w:pPr>
        <w:spacing w:after="280"/>
        <w:jc w:val="center"/>
        <w:rPr>
          <w:rFonts w:eastAsia="新細明體"/>
          <w:b/>
          <w:bCs/>
          <w:color w:val="000000"/>
          <w:sz w:val="24"/>
          <w:szCs w:val="24"/>
        </w:rPr>
      </w:pPr>
      <w:r>
        <w:rPr>
          <w:rFonts w:eastAsia="新細明體"/>
          <w:b/>
          <w:bCs/>
          <w:color w:val="000000"/>
          <w:sz w:val="24"/>
          <w:szCs w:val="24"/>
        </w:rPr>
        <w:t>IN RELATION TO THE PROPOSED RE-APPOINTMENT OF AUDITOR</w:t>
      </w:r>
      <w:r w:rsidR="00FC5F07">
        <w:rPr>
          <w:rFonts w:eastAsia="新細明體"/>
          <w:b/>
          <w:bCs/>
          <w:color w:val="000000"/>
          <w:sz w:val="24"/>
          <w:szCs w:val="24"/>
        </w:rPr>
        <w:t>.</w:t>
      </w:r>
    </w:p>
    <w:p w14:paraId="1D5DD313" w14:textId="77777777" w:rsidR="00FC5F07" w:rsidRPr="00FC5F07" w:rsidRDefault="00FC5F07" w:rsidP="0041747E">
      <w:pPr>
        <w:spacing w:after="280"/>
        <w:jc w:val="center"/>
      </w:pPr>
    </w:p>
    <w:p w14:paraId="76330D1F" w14:textId="69D5CCB2" w:rsidR="0041747E" w:rsidRPr="00FC5F07" w:rsidRDefault="0041747E" w:rsidP="0041747E">
      <w:pPr>
        <w:spacing w:after="200" w:line="276" w:lineRule="auto"/>
        <w:jc w:val="both"/>
        <w:rPr>
          <w:sz w:val="24"/>
          <w:szCs w:val="24"/>
        </w:rPr>
      </w:pPr>
      <w:r w:rsidRPr="00FC5F07">
        <w:rPr>
          <w:rFonts w:eastAsia="新細明體"/>
          <w:color w:val="000000"/>
          <w:sz w:val="24"/>
          <w:szCs w:val="24"/>
        </w:rPr>
        <w:t xml:space="preserve">Reference is made to the circular of </w:t>
      </w:r>
      <w:r w:rsidRPr="00FC5F07">
        <w:rPr>
          <w:rFonts w:eastAsia="新細明體"/>
          <w:color w:val="000000"/>
          <w:sz w:val="24"/>
          <w:szCs w:val="24"/>
        </w:rPr>
        <w:t>Great World Company</w:t>
      </w:r>
      <w:r w:rsidRPr="00FC5F07">
        <w:rPr>
          <w:rFonts w:eastAsia="新細明體"/>
          <w:color w:val="000000"/>
          <w:sz w:val="24"/>
          <w:szCs w:val="24"/>
        </w:rPr>
        <w:t xml:space="preserve"> Holdings Limited (the “Company”) dated </w:t>
      </w:r>
      <w:r w:rsidRPr="00FC5F07">
        <w:rPr>
          <w:rFonts w:eastAsia="新細明體"/>
          <w:color w:val="000000"/>
          <w:sz w:val="24"/>
          <w:szCs w:val="24"/>
        </w:rPr>
        <w:t xml:space="preserve">1 September </w:t>
      </w:r>
      <w:r w:rsidRPr="00FC5F07">
        <w:rPr>
          <w:rFonts w:eastAsia="新細明體"/>
          <w:color w:val="000000"/>
          <w:sz w:val="24"/>
          <w:szCs w:val="24"/>
        </w:rPr>
        <w:t xml:space="preserve">2026 (the “AGM Circular”), the notice of annual general meeting dated </w:t>
      </w:r>
      <w:r w:rsidRPr="00FC5F07">
        <w:rPr>
          <w:rFonts w:eastAsia="新細明體"/>
          <w:color w:val="000000"/>
          <w:sz w:val="24"/>
          <w:szCs w:val="24"/>
        </w:rPr>
        <w:t xml:space="preserve">1 September </w:t>
      </w:r>
      <w:r w:rsidRPr="00FC5F07">
        <w:rPr>
          <w:rFonts w:eastAsia="新細明體"/>
          <w:color w:val="000000"/>
          <w:sz w:val="24"/>
          <w:szCs w:val="24"/>
        </w:rPr>
        <w:t xml:space="preserve">2026 (the “AGM Notice”) and the accompanying form of proxy, in relation to, among other things, the proposed re-appointment of the auditor of the Company and the ordinary resolution to be considered at the annual general meeting of the Company to be held on </w:t>
      </w:r>
      <w:r w:rsidR="00FC5F07">
        <w:rPr>
          <w:rFonts w:eastAsia="新細明體"/>
          <w:color w:val="000000"/>
          <w:sz w:val="24"/>
          <w:szCs w:val="24"/>
        </w:rPr>
        <w:t>Tuesday</w:t>
      </w:r>
      <w:r w:rsidRPr="00FC5F07">
        <w:rPr>
          <w:rFonts w:eastAsia="新細明體"/>
          <w:color w:val="000000"/>
          <w:sz w:val="24"/>
          <w:szCs w:val="24"/>
        </w:rPr>
        <w:t>, 2</w:t>
      </w:r>
      <w:r w:rsidRPr="00FC5F07">
        <w:rPr>
          <w:rFonts w:eastAsia="新細明體"/>
          <w:color w:val="000000"/>
          <w:sz w:val="24"/>
          <w:szCs w:val="24"/>
        </w:rPr>
        <w:t>9</w:t>
      </w:r>
      <w:r w:rsidRPr="00FC5F07">
        <w:rPr>
          <w:rFonts w:eastAsia="新細明體"/>
          <w:color w:val="000000"/>
          <w:sz w:val="24"/>
          <w:szCs w:val="24"/>
        </w:rPr>
        <w:t xml:space="preserve"> September 2026 (the “AGM”). Unless otherwise defined, </w:t>
      </w:r>
      <w:proofErr w:type="spellStart"/>
      <w:r w:rsidRPr="00FC5F07">
        <w:rPr>
          <w:rFonts w:eastAsia="新細明體"/>
          <w:color w:val="000000"/>
          <w:sz w:val="24"/>
          <w:szCs w:val="24"/>
        </w:rPr>
        <w:t>capitalised</w:t>
      </w:r>
      <w:proofErr w:type="spellEnd"/>
      <w:r w:rsidRPr="00FC5F07">
        <w:rPr>
          <w:rFonts w:eastAsia="新細明體"/>
          <w:color w:val="000000"/>
          <w:sz w:val="24"/>
          <w:szCs w:val="24"/>
        </w:rPr>
        <w:t xml:space="preserve"> terms used in this announcement shall have the same meanings as defined in the AGM Circular.</w:t>
      </w:r>
    </w:p>
    <w:p w14:paraId="1F8B430B" w14:textId="77777777" w:rsidR="0041747E" w:rsidRPr="00FC5F07" w:rsidRDefault="0041747E" w:rsidP="0041747E">
      <w:pPr>
        <w:spacing w:after="240" w:line="276" w:lineRule="auto"/>
        <w:jc w:val="both"/>
        <w:rPr>
          <w:sz w:val="24"/>
          <w:szCs w:val="24"/>
        </w:rPr>
      </w:pPr>
      <w:r w:rsidRPr="00FC5F07">
        <w:rPr>
          <w:rFonts w:eastAsia="新細明體"/>
          <w:color w:val="000000"/>
          <w:sz w:val="24"/>
          <w:szCs w:val="24"/>
        </w:rPr>
        <w:t>The Company would like to provide the following supplemental information regarding the AGM Circular.</w:t>
      </w:r>
    </w:p>
    <w:p w14:paraId="3C97BC50" w14:textId="77777777" w:rsidR="0041747E" w:rsidRPr="00FC5F07" w:rsidRDefault="0041747E" w:rsidP="0041747E">
      <w:pPr>
        <w:spacing w:after="200" w:line="276" w:lineRule="auto"/>
        <w:jc w:val="both"/>
        <w:rPr>
          <w:sz w:val="24"/>
          <w:szCs w:val="24"/>
        </w:rPr>
      </w:pPr>
      <w:r w:rsidRPr="00FC5F07">
        <w:rPr>
          <w:rFonts w:eastAsia="新細明體"/>
          <w:b/>
          <w:bCs/>
          <w:color w:val="000000"/>
          <w:sz w:val="24"/>
          <w:szCs w:val="24"/>
        </w:rPr>
        <w:t>RE-APPOINTMENT OF AUDITOR</w:t>
      </w:r>
    </w:p>
    <w:p w14:paraId="24200F33" w14:textId="352BEF5A" w:rsidR="0041747E" w:rsidRPr="00FC5F07" w:rsidRDefault="0041747E" w:rsidP="0041747E">
      <w:pPr>
        <w:spacing w:after="200" w:line="276" w:lineRule="auto"/>
        <w:jc w:val="both"/>
        <w:rPr>
          <w:sz w:val="24"/>
          <w:szCs w:val="24"/>
        </w:rPr>
      </w:pPr>
      <w:r w:rsidRPr="00FC5F07">
        <w:rPr>
          <w:rFonts w:eastAsia="新細明體"/>
          <w:color w:val="000000"/>
          <w:sz w:val="24"/>
          <w:szCs w:val="24"/>
        </w:rPr>
        <w:t xml:space="preserve">HLB Hodgson </w:t>
      </w:r>
      <w:proofErr w:type="spellStart"/>
      <w:r w:rsidRPr="00FC5F07">
        <w:rPr>
          <w:rFonts w:eastAsia="新細明體"/>
          <w:color w:val="000000"/>
          <w:sz w:val="24"/>
          <w:szCs w:val="24"/>
        </w:rPr>
        <w:t>Impey</w:t>
      </w:r>
      <w:proofErr w:type="spellEnd"/>
      <w:r w:rsidRPr="00FC5F07">
        <w:rPr>
          <w:rFonts w:eastAsia="新細明體"/>
          <w:color w:val="000000"/>
          <w:sz w:val="24"/>
          <w:szCs w:val="24"/>
        </w:rPr>
        <w:t xml:space="preserve"> Cheng Limite</w:t>
      </w:r>
      <w:r w:rsidRPr="00FC5F07">
        <w:rPr>
          <w:rFonts w:eastAsia="新細明體"/>
          <w:color w:val="000000"/>
          <w:sz w:val="24"/>
          <w:szCs w:val="24"/>
        </w:rPr>
        <w:t>d (“</w:t>
      </w:r>
      <w:r w:rsidR="00185623" w:rsidRPr="00FC5F07">
        <w:rPr>
          <w:rFonts w:eastAsia="新細明體"/>
          <w:color w:val="000000"/>
          <w:sz w:val="24"/>
          <w:szCs w:val="24"/>
        </w:rPr>
        <w:t>HLB</w:t>
      </w:r>
      <w:r w:rsidRPr="00FC5F07">
        <w:rPr>
          <w:rFonts w:eastAsia="新細明體"/>
          <w:color w:val="000000"/>
          <w:sz w:val="24"/>
          <w:szCs w:val="24"/>
        </w:rPr>
        <w:t xml:space="preserve">”), will retire as the auditor of the Company (the “Auditor”) at the AGM and, being eligible, offer themselves for re-appointment. Upon the recommendation of the Audit Committee, the Board proposes to pass an ordinary resolution for the re-appointment of </w:t>
      </w:r>
      <w:r w:rsidR="00FC5F07">
        <w:rPr>
          <w:rFonts w:eastAsia="新細明體"/>
          <w:color w:val="000000"/>
          <w:sz w:val="24"/>
          <w:szCs w:val="24"/>
        </w:rPr>
        <w:t>HLB</w:t>
      </w:r>
      <w:r w:rsidRPr="00FC5F07">
        <w:rPr>
          <w:rFonts w:eastAsia="新細明體"/>
          <w:color w:val="000000"/>
          <w:sz w:val="24"/>
          <w:szCs w:val="24"/>
        </w:rPr>
        <w:t xml:space="preserve"> as the Auditor to hold office from the conclusion of the AGM until the next annual general meeting of the Company and to </w:t>
      </w:r>
      <w:proofErr w:type="spellStart"/>
      <w:r w:rsidRPr="00FC5F07">
        <w:rPr>
          <w:rFonts w:eastAsia="新細明體"/>
          <w:color w:val="000000"/>
          <w:sz w:val="24"/>
          <w:szCs w:val="24"/>
        </w:rPr>
        <w:t>authorise</w:t>
      </w:r>
      <w:proofErr w:type="spellEnd"/>
      <w:r w:rsidRPr="00FC5F07">
        <w:rPr>
          <w:rFonts w:eastAsia="新細明體"/>
          <w:color w:val="000000"/>
          <w:sz w:val="24"/>
          <w:szCs w:val="24"/>
        </w:rPr>
        <w:t xml:space="preserve"> the Board to fix the remuneration of the Auditor for the year ending 31 March 2027. The estimated audit fee for the audit services provided by </w:t>
      </w:r>
      <w:r w:rsidR="00FC5F07">
        <w:rPr>
          <w:rFonts w:eastAsia="新細明體"/>
          <w:color w:val="000000"/>
          <w:sz w:val="24"/>
          <w:szCs w:val="24"/>
        </w:rPr>
        <w:t>HLB</w:t>
      </w:r>
      <w:r w:rsidRPr="00FC5F07">
        <w:rPr>
          <w:rFonts w:eastAsia="新細明體"/>
          <w:color w:val="000000"/>
          <w:sz w:val="24"/>
          <w:szCs w:val="24"/>
        </w:rPr>
        <w:t xml:space="preserve"> to the Company and its subsidiaries (the “Group”) for the year ending 31 March 2027 is estimated to be </w:t>
      </w:r>
      <w:r w:rsidR="00FC5F07">
        <w:rPr>
          <w:rFonts w:eastAsia="新細明體"/>
          <w:color w:val="000000"/>
          <w:sz w:val="24"/>
          <w:szCs w:val="24"/>
        </w:rPr>
        <w:t>HK$50</w:t>
      </w:r>
      <w:r w:rsidRPr="00FC5F07">
        <w:rPr>
          <w:rFonts w:eastAsia="新細明體"/>
          <w:color w:val="000000"/>
          <w:sz w:val="24"/>
          <w:szCs w:val="24"/>
        </w:rPr>
        <w:t>0,000.</w:t>
      </w:r>
    </w:p>
    <w:p w14:paraId="7CF3CB99" w14:textId="4A83D0EA" w:rsidR="0041747E" w:rsidRPr="00FC5F07" w:rsidRDefault="0041747E" w:rsidP="0041747E">
      <w:pPr>
        <w:spacing w:after="200" w:line="276" w:lineRule="auto"/>
        <w:jc w:val="both"/>
        <w:rPr>
          <w:sz w:val="24"/>
          <w:szCs w:val="24"/>
        </w:rPr>
      </w:pPr>
      <w:r w:rsidRPr="00FC5F07">
        <w:rPr>
          <w:rFonts w:eastAsia="新細明體"/>
          <w:color w:val="000000"/>
          <w:sz w:val="24"/>
          <w:szCs w:val="24"/>
        </w:rPr>
        <w:t xml:space="preserve">Such fee has been determined after due consideration and arm’s length negotiations between the Company and </w:t>
      </w:r>
      <w:r w:rsidR="00FC5F07">
        <w:rPr>
          <w:rFonts w:eastAsia="新細明體"/>
          <w:color w:val="000000"/>
          <w:sz w:val="24"/>
          <w:szCs w:val="24"/>
        </w:rPr>
        <w:t>HLB</w:t>
      </w:r>
      <w:r w:rsidRPr="00FC5F07">
        <w:rPr>
          <w:rFonts w:eastAsia="新細明體"/>
          <w:color w:val="000000"/>
          <w:sz w:val="24"/>
          <w:szCs w:val="24"/>
        </w:rPr>
        <w:t>, taking into account, among other things, historical audit fees, prevailing market rates, the complexity and business plans of the Group, the expected scope of the audit (including such additional audit procedures as may be required having regard to the going concern and other matters described in the auditor’s report on the consolidated financial statements of the Group for the year ended 31 March 2026</w:t>
      </w:r>
      <w:r w:rsidR="00FC5F07">
        <w:rPr>
          <w:rFonts w:eastAsia="新細明體"/>
          <w:color w:val="000000"/>
          <w:sz w:val="24"/>
          <w:szCs w:val="24"/>
        </w:rPr>
        <w:t>)</w:t>
      </w:r>
      <w:r w:rsidRPr="00FC5F07">
        <w:rPr>
          <w:rFonts w:eastAsia="新細明體"/>
          <w:color w:val="000000"/>
          <w:sz w:val="24"/>
          <w:szCs w:val="24"/>
        </w:rPr>
        <w:t xml:space="preserve">, the audit timetable, and the Auditor’s resources required. The estimated audit fee has been determined on the basis that no material changes are expected in the Group’s operations, accounting policies or regulatory environment during the financial year ending 31 March 2027, and </w:t>
      </w:r>
      <w:r w:rsidRPr="00FC5F07">
        <w:rPr>
          <w:rFonts w:eastAsia="新細明體"/>
          <w:color w:val="000000"/>
          <w:sz w:val="24"/>
          <w:szCs w:val="24"/>
        </w:rPr>
        <w:lastRenderedPageBreak/>
        <w:t xml:space="preserve">that the Company will provide timely and adequate assistance and information as reasonably required for the audit. </w:t>
      </w:r>
    </w:p>
    <w:p w14:paraId="2FD6B600" w14:textId="021836A3" w:rsidR="0041747E" w:rsidRPr="00FC5F07" w:rsidRDefault="0041747E" w:rsidP="0041747E">
      <w:pPr>
        <w:spacing w:after="200" w:line="276" w:lineRule="auto"/>
        <w:jc w:val="both"/>
        <w:rPr>
          <w:sz w:val="24"/>
          <w:szCs w:val="24"/>
        </w:rPr>
      </w:pPr>
      <w:r w:rsidRPr="00FC5F07">
        <w:rPr>
          <w:rFonts w:eastAsia="新細明體"/>
          <w:color w:val="000000"/>
          <w:sz w:val="24"/>
          <w:szCs w:val="24"/>
        </w:rPr>
        <w:t xml:space="preserve">As </w:t>
      </w:r>
      <w:r w:rsidR="00AF3191">
        <w:rPr>
          <w:rFonts w:eastAsia="新細明體"/>
          <w:color w:val="000000"/>
          <w:sz w:val="24"/>
          <w:szCs w:val="24"/>
        </w:rPr>
        <w:t>HLB</w:t>
      </w:r>
      <w:r w:rsidRPr="00FC5F07">
        <w:rPr>
          <w:rFonts w:eastAsia="新細明體"/>
          <w:color w:val="000000"/>
          <w:sz w:val="24"/>
          <w:szCs w:val="24"/>
        </w:rPr>
        <w:t xml:space="preserve"> is relatively familiar with the Group’s financial position and affairs, the Board considers that the estimated audit fee agreed with the Auditor is fair and reasonable, taking into account the facts and circumstances known as at the date of this announcement, and that the audit related work in respect of the Group for the year ending 31 March 2027 will be performed more efficiently by </w:t>
      </w:r>
      <w:r w:rsidR="00AF3191">
        <w:rPr>
          <w:rFonts w:eastAsia="新細明體"/>
          <w:color w:val="000000"/>
          <w:sz w:val="24"/>
          <w:szCs w:val="24"/>
        </w:rPr>
        <w:t>HLB</w:t>
      </w:r>
      <w:r w:rsidRPr="00FC5F07">
        <w:rPr>
          <w:rFonts w:eastAsia="新細明體"/>
          <w:color w:val="000000"/>
          <w:sz w:val="24"/>
          <w:szCs w:val="24"/>
        </w:rPr>
        <w:t xml:space="preserve"> which is in the best interests of the Company and the Shareholders as a whole.</w:t>
      </w:r>
    </w:p>
    <w:p w14:paraId="5B10FCEF" w14:textId="7E2BC8D9" w:rsidR="0041747E" w:rsidRPr="00FC5F07" w:rsidRDefault="0041747E" w:rsidP="0041747E">
      <w:pPr>
        <w:spacing w:after="200" w:line="276" w:lineRule="auto"/>
        <w:jc w:val="both"/>
        <w:rPr>
          <w:sz w:val="24"/>
          <w:szCs w:val="24"/>
        </w:rPr>
      </w:pPr>
      <w:r w:rsidRPr="00FC5F07">
        <w:rPr>
          <w:rFonts w:eastAsia="新細明體"/>
          <w:color w:val="000000"/>
          <w:sz w:val="24"/>
          <w:szCs w:val="24"/>
        </w:rPr>
        <w:t>Unless there is a material change in the basis and assumptions set out above</w:t>
      </w:r>
      <w:r w:rsidR="0071290C">
        <w:rPr>
          <w:rFonts w:eastAsia="新細明體"/>
          <w:color w:val="000000"/>
          <w:sz w:val="24"/>
          <w:szCs w:val="24"/>
        </w:rPr>
        <w:t xml:space="preserve"> the audit fee of which may be subject to adjustment</w:t>
      </w:r>
      <w:r w:rsidRPr="00FC5F07">
        <w:rPr>
          <w:rFonts w:eastAsia="新細明體"/>
          <w:color w:val="000000"/>
          <w:sz w:val="24"/>
          <w:szCs w:val="24"/>
        </w:rPr>
        <w:t>, the final audit fee should not deviate materially from the estimated amount initially disclosed. In the event of any material change, the Company will make further disclosure as appropriate.</w:t>
      </w:r>
    </w:p>
    <w:p w14:paraId="35C43BFC" w14:textId="77777777" w:rsidR="0041747E" w:rsidRPr="00FC5F07" w:rsidRDefault="0041747E" w:rsidP="0041747E">
      <w:pPr>
        <w:spacing w:after="360" w:line="276" w:lineRule="auto"/>
        <w:jc w:val="both"/>
        <w:rPr>
          <w:sz w:val="24"/>
          <w:szCs w:val="24"/>
        </w:rPr>
      </w:pPr>
      <w:r w:rsidRPr="00FC5F07">
        <w:rPr>
          <w:rFonts w:eastAsia="新細明體"/>
          <w:color w:val="000000"/>
          <w:sz w:val="24"/>
          <w:szCs w:val="24"/>
        </w:rPr>
        <w:t xml:space="preserve">Save for the above supplemental information, the information set out in the AGM Circular, the AGM </w:t>
      </w:r>
      <w:proofErr w:type="gramStart"/>
      <w:r w:rsidRPr="00FC5F07">
        <w:rPr>
          <w:rFonts w:eastAsia="新細明體"/>
          <w:color w:val="000000"/>
          <w:sz w:val="24"/>
          <w:szCs w:val="24"/>
        </w:rPr>
        <w:t>Notice</w:t>
      </w:r>
      <w:proofErr w:type="gramEnd"/>
      <w:r w:rsidRPr="00FC5F07">
        <w:rPr>
          <w:rFonts w:eastAsia="新細明體"/>
          <w:color w:val="000000"/>
          <w:sz w:val="24"/>
          <w:szCs w:val="24"/>
        </w:rPr>
        <w:t xml:space="preserve"> and the accompanying form of proxy, including, among others, the date, time and venue of the AGM, the book closure period and the resolutions to be considered at the AGM, remain unchanged.</w:t>
      </w:r>
    </w:p>
    <w:p w14:paraId="21B22B49" w14:textId="77777777" w:rsidR="003B5718" w:rsidRPr="00FC5F07" w:rsidRDefault="00000000" w:rsidP="0071290C">
      <w:pPr>
        <w:spacing w:after="40" w:line="276" w:lineRule="auto"/>
        <w:ind w:left="1920" w:firstLine="480"/>
        <w:jc w:val="center"/>
        <w:rPr>
          <w:sz w:val="24"/>
          <w:szCs w:val="24"/>
        </w:rPr>
      </w:pPr>
      <w:r w:rsidRPr="00FC5F07">
        <w:rPr>
          <w:rFonts w:eastAsia="Times New Roman"/>
          <w:sz w:val="24"/>
          <w:szCs w:val="24"/>
        </w:rPr>
        <w:t>By order of the Board</w:t>
      </w:r>
    </w:p>
    <w:p w14:paraId="4B33605E" w14:textId="77777777" w:rsidR="003B5718" w:rsidRPr="00FC5F07" w:rsidRDefault="00000000" w:rsidP="0071290C">
      <w:pPr>
        <w:spacing w:after="40" w:line="276" w:lineRule="auto"/>
        <w:ind w:left="1920" w:firstLine="480"/>
        <w:jc w:val="center"/>
        <w:rPr>
          <w:sz w:val="24"/>
          <w:szCs w:val="24"/>
        </w:rPr>
      </w:pPr>
      <w:r w:rsidRPr="00FC5F07">
        <w:rPr>
          <w:rFonts w:eastAsia="Times New Roman"/>
          <w:b/>
          <w:bCs/>
          <w:sz w:val="24"/>
          <w:szCs w:val="24"/>
        </w:rPr>
        <w:t>Great World Company Holdings Ltd</w:t>
      </w:r>
    </w:p>
    <w:p w14:paraId="0D04CF9E" w14:textId="77777777" w:rsidR="003B5718" w:rsidRPr="00FC5F07" w:rsidRDefault="00000000" w:rsidP="0071290C">
      <w:pPr>
        <w:spacing w:line="276" w:lineRule="auto"/>
        <w:ind w:left="1920" w:firstLine="480"/>
        <w:jc w:val="center"/>
        <w:rPr>
          <w:sz w:val="24"/>
          <w:szCs w:val="24"/>
        </w:rPr>
      </w:pPr>
      <w:r w:rsidRPr="00FC5F07">
        <w:rPr>
          <w:rFonts w:eastAsia="Times New Roman"/>
          <w:b/>
          <w:bCs/>
          <w:sz w:val="24"/>
          <w:szCs w:val="24"/>
        </w:rPr>
        <w:t xml:space="preserve">Zhao </w:t>
      </w:r>
      <w:proofErr w:type="spellStart"/>
      <w:r w:rsidRPr="00FC5F07">
        <w:rPr>
          <w:rFonts w:eastAsia="Times New Roman"/>
          <w:b/>
          <w:bCs/>
          <w:sz w:val="24"/>
          <w:szCs w:val="24"/>
        </w:rPr>
        <w:t>Xinyan</w:t>
      </w:r>
      <w:proofErr w:type="spellEnd"/>
    </w:p>
    <w:p w14:paraId="0C9D8F3B" w14:textId="77777777" w:rsidR="003B5718" w:rsidRPr="00FC5F07" w:rsidRDefault="00000000" w:rsidP="0071290C">
      <w:pPr>
        <w:spacing w:after="240" w:line="276" w:lineRule="auto"/>
        <w:ind w:left="1920" w:firstLine="480"/>
        <w:jc w:val="center"/>
        <w:rPr>
          <w:sz w:val="24"/>
          <w:szCs w:val="24"/>
        </w:rPr>
      </w:pPr>
      <w:r w:rsidRPr="00FC5F07">
        <w:rPr>
          <w:rFonts w:eastAsia="Times New Roman"/>
          <w:sz w:val="24"/>
          <w:szCs w:val="24"/>
        </w:rPr>
        <w:t>Chairman</w:t>
      </w:r>
    </w:p>
    <w:p w14:paraId="138C9211" w14:textId="514CE2D2" w:rsidR="003B5718" w:rsidRPr="00FC5F07" w:rsidRDefault="00000000">
      <w:pPr>
        <w:spacing w:after="280" w:line="276" w:lineRule="auto"/>
        <w:rPr>
          <w:sz w:val="24"/>
          <w:szCs w:val="24"/>
        </w:rPr>
      </w:pPr>
      <w:r w:rsidRPr="00FC5F07">
        <w:rPr>
          <w:rFonts w:eastAsia="Times New Roman"/>
          <w:sz w:val="24"/>
          <w:szCs w:val="24"/>
        </w:rPr>
        <w:t>Hong Kong, 2</w:t>
      </w:r>
      <w:r w:rsidR="00185623" w:rsidRPr="00FC5F07">
        <w:rPr>
          <w:rFonts w:eastAsia="Times New Roman"/>
          <w:sz w:val="24"/>
          <w:szCs w:val="24"/>
        </w:rPr>
        <w:t>3</w:t>
      </w:r>
      <w:r w:rsidRPr="00FC5F07">
        <w:rPr>
          <w:rFonts w:eastAsia="Times New Roman"/>
          <w:sz w:val="24"/>
          <w:szCs w:val="24"/>
        </w:rPr>
        <w:t xml:space="preserve"> September 2026</w:t>
      </w:r>
    </w:p>
    <w:p w14:paraId="4F908BF1" w14:textId="77777777" w:rsidR="0071290C" w:rsidRDefault="0071290C">
      <w:pPr>
        <w:spacing w:after="200"/>
        <w:jc w:val="both"/>
        <w:rPr>
          <w:rFonts w:eastAsia="Times New Roman"/>
          <w:sz w:val="22"/>
          <w:szCs w:val="22"/>
        </w:rPr>
      </w:pPr>
    </w:p>
    <w:p w14:paraId="12CC6288" w14:textId="07332148" w:rsidR="003B5718" w:rsidRPr="0071290C" w:rsidRDefault="00000000">
      <w:pPr>
        <w:spacing w:after="200"/>
        <w:jc w:val="both"/>
        <w:rPr>
          <w:sz w:val="22"/>
          <w:szCs w:val="22"/>
        </w:rPr>
      </w:pPr>
      <w:r w:rsidRPr="0071290C">
        <w:rPr>
          <w:rFonts w:eastAsia="Times New Roman"/>
          <w:sz w:val="22"/>
          <w:szCs w:val="22"/>
        </w:rPr>
        <w:t>As at the date of this announcement, the Board comprises of (</w:t>
      </w:r>
      <w:proofErr w:type="spellStart"/>
      <w:r w:rsidRPr="0071290C">
        <w:rPr>
          <w:rFonts w:eastAsia="Times New Roman"/>
          <w:sz w:val="22"/>
          <w:szCs w:val="22"/>
        </w:rPr>
        <w:t>i</w:t>
      </w:r>
      <w:proofErr w:type="spellEnd"/>
      <w:r w:rsidRPr="0071290C">
        <w:rPr>
          <w:rFonts w:eastAsia="Times New Roman"/>
          <w:sz w:val="22"/>
          <w:szCs w:val="22"/>
        </w:rPr>
        <w:t xml:space="preserve">) three Executive Directors, namely Mr. Zhao </w:t>
      </w:r>
      <w:proofErr w:type="spellStart"/>
      <w:r w:rsidRPr="0071290C">
        <w:rPr>
          <w:rFonts w:eastAsia="Times New Roman"/>
          <w:sz w:val="22"/>
          <w:szCs w:val="22"/>
        </w:rPr>
        <w:t>Xinyan</w:t>
      </w:r>
      <w:proofErr w:type="spellEnd"/>
      <w:r w:rsidRPr="0071290C">
        <w:rPr>
          <w:rFonts w:eastAsia="Times New Roman"/>
          <w:sz w:val="22"/>
          <w:szCs w:val="22"/>
        </w:rPr>
        <w:t xml:space="preserve">, Mr. Zhang </w:t>
      </w:r>
      <w:proofErr w:type="spellStart"/>
      <w:r w:rsidRPr="0071290C">
        <w:rPr>
          <w:rFonts w:eastAsia="Times New Roman"/>
          <w:sz w:val="22"/>
          <w:szCs w:val="22"/>
        </w:rPr>
        <w:t>Yanqiang</w:t>
      </w:r>
      <w:proofErr w:type="spellEnd"/>
      <w:r w:rsidRPr="0071290C">
        <w:rPr>
          <w:rFonts w:eastAsia="Times New Roman"/>
          <w:sz w:val="22"/>
          <w:szCs w:val="22"/>
        </w:rPr>
        <w:t xml:space="preserve"> and Mr. Gu </w:t>
      </w:r>
      <w:proofErr w:type="spellStart"/>
      <w:r w:rsidRPr="0071290C">
        <w:rPr>
          <w:rFonts w:eastAsia="Times New Roman"/>
          <w:sz w:val="22"/>
          <w:szCs w:val="22"/>
        </w:rPr>
        <w:t>Zhonghai</w:t>
      </w:r>
      <w:proofErr w:type="spellEnd"/>
      <w:r w:rsidRPr="0071290C">
        <w:rPr>
          <w:rFonts w:eastAsia="Times New Roman"/>
          <w:sz w:val="22"/>
          <w:szCs w:val="22"/>
        </w:rPr>
        <w:t xml:space="preserve">; (ii) three Independent Non-Executive Directors, namely Mr. Chung Koon Yan, Ms. Zhao </w:t>
      </w:r>
      <w:proofErr w:type="spellStart"/>
      <w:r w:rsidRPr="0071290C">
        <w:rPr>
          <w:rFonts w:eastAsia="Times New Roman"/>
          <w:sz w:val="22"/>
          <w:szCs w:val="22"/>
        </w:rPr>
        <w:t>Yongmei</w:t>
      </w:r>
      <w:proofErr w:type="spellEnd"/>
      <w:r w:rsidRPr="0071290C">
        <w:rPr>
          <w:rFonts w:eastAsia="Times New Roman"/>
          <w:sz w:val="22"/>
          <w:szCs w:val="22"/>
        </w:rPr>
        <w:t xml:space="preserve"> and Mr. Jing </w:t>
      </w:r>
      <w:proofErr w:type="spellStart"/>
      <w:r w:rsidRPr="0071290C">
        <w:rPr>
          <w:rFonts w:eastAsia="Times New Roman"/>
          <w:sz w:val="22"/>
          <w:szCs w:val="22"/>
        </w:rPr>
        <w:t>Baoli</w:t>
      </w:r>
      <w:proofErr w:type="spellEnd"/>
      <w:r w:rsidRPr="0071290C">
        <w:rPr>
          <w:rFonts w:eastAsia="Times New Roman"/>
          <w:sz w:val="22"/>
          <w:szCs w:val="22"/>
        </w:rPr>
        <w:t>.</w:t>
      </w:r>
    </w:p>
    <w:p w14:paraId="45ECB267" w14:textId="77777777" w:rsidR="003B5718" w:rsidRPr="0071290C" w:rsidRDefault="00000000">
      <w:pPr>
        <w:spacing w:after="200"/>
        <w:jc w:val="both"/>
        <w:rPr>
          <w:sz w:val="22"/>
          <w:szCs w:val="22"/>
        </w:rPr>
      </w:pPr>
      <w:r w:rsidRPr="0071290C">
        <w:rPr>
          <w:rFonts w:eastAsia="Times New Roman"/>
          <w:sz w:val="22"/>
          <w:szCs w:val="22"/>
        </w:rPr>
        <w:t xml:space="preserve">This announcement, for which the Directors collectively and individually accept full responsibility, includes particulars given in compliance with the GEM Listing Rules for the purpose of giving information </w:t>
      </w:r>
      <w:proofErr w:type="gramStart"/>
      <w:r w:rsidRPr="0071290C">
        <w:rPr>
          <w:rFonts w:eastAsia="Times New Roman"/>
          <w:sz w:val="22"/>
          <w:szCs w:val="22"/>
        </w:rPr>
        <w:t>with regard to</w:t>
      </w:r>
      <w:proofErr w:type="gramEnd"/>
      <w:r w:rsidRPr="0071290C">
        <w:rPr>
          <w:rFonts w:eastAsia="Times New Roman"/>
          <w:sz w:val="22"/>
          <w:szCs w:val="22"/>
        </w:rPr>
        <w:t xml:space="preserve"> the Company. The Directors, having made all reasonable enquiries, confirm that to the best of their knowledge and belief the information contained in this announcement is accurate and complete in all material respects and not misleading or deceptive, and there are no other matters the omission of which would make any statement herein or this announcement misleading.</w:t>
      </w:r>
    </w:p>
    <w:p w14:paraId="2484FFB2" w14:textId="77777777" w:rsidR="003B5718" w:rsidRPr="0071290C" w:rsidRDefault="00000000">
      <w:pPr>
        <w:jc w:val="both"/>
        <w:rPr>
          <w:sz w:val="22"/>
          <w:szCs w:val="22"/>
        </w:rPr>
      </w:pPr>
      <w:r w:rsidRPr="0071290C">
        <w:rPr>
          <w:rFonts w:eastAsia="Times New Roman"/>
          <w:sz w:val="22"/>
          <w:szCs w:val="22"/>
        </w:rPr>
        <w:t>This announcement will remain on the Stock Exchange’s website at www.hkexnews.hk on the “Latest Listed Company Information” page for at least 7 days from the date of its posting and on the website of the Company at www.gwchl.com.</w:t>
      </w:r>
    </w:p>
    <w:sectPr w:rsidR="003B5718" w:rsidRPr="0071290C" w:rsidSect="00837D00">
      <w:footerReference w:type="default" r:id="rId8"/>
      <w:pgSz w:w="11906" w:h="16838"/>
      <w:pgMar w:top="1134" w:right="1134" w:bottom="709" w:left="1134" w:header="708" w:footer="74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025D2C3" w14:textId="77777777" w:rsidR="001F21DA" w:rsidRDefault="001F21DA">
      <w:r>
        <w:separator/>
      </w:r>
    </w:p>
  </w:endnote>
  <w:endnote w:type="continuationSeparator" w:id="0">
    <w:p w14:paraId="649CF9EB" w14:textId="77777777" w:rsidR="001F21DA" w:rsidRDefault="001F21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43"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07DC38" w14:textId="108E7670" w:rsidR="003B5718" w:rsidRDefault="00837D00" w:rsidP="00837D00">
    <w:pPr>
      <w:tabs>
        <w:tab w:val="left" w:pos="2970"/>
        <w:tab w:val="center" w:pos="4819"/>
      </w:tabs>
    </w:pPr>
    <w:r>
      <w:rPr>
        <w:rFonts w:eastAsia="Times New Roman"/>
        <w:sz w:val="18"/>
        <w:szCs w:val="18"/>
      </w:rPr>
      <w:tab/>
    </w:r>
    <w:r>
      <w:rPr>
        <w:rFonts w:eastAsia="Times New Roman"/>
        <w:sz w:val="18"/>
        <w:szCs w:val="18"/>
      </w:rPr>
      <w:tab/>
    </w:r>
    <w:r w:rsidR="00000000">
      <w:rPr>
        <w:rFonts w:eastAsia="Times New Roman"/>
        <w:sz w:val="18"/>
        <w:szCs w:val="18"/>
      </w:rPr>
      <w:t xml:space="preserve">– </w:t>
    </w:r>
    <w:r w:rsidR="00000000">
      <w:rPr>
        <w:sz w:val="18"/>
        <w:szCs w:val="18"/>
      </w:rPr>
      <w:fldChar w:fldCharType="begin"/>
    </w:r>
    <w:r w:rsidR="00000000">
      <w:rPr>
        <w:rFonts w:eastAsia="Times New Roman"/>
        <w:sz w:val="18"/>
        <w:szCs w:val="18"/>
      </w:rPr>
      <w:instrText>PAGE</w:instrText>
    </w:r>
    <w:r w:rsidR="00000000">
      <w:rPr>
        <w:sz w:val="18"/>
        <w:szCs w:val="18"/>
      </w:rPr>
      <w:fldChar w:fldCharType="separate"/>
    </w:r>
    <w:r w:rsidR="008E3EC4">
      <w:rPr>
        <w:rFonts w:eastAsia="Times New Roman"/>
        <w:noProof/>
        <w:sz w:val="18"/>
        <w:szCs w:val="18"/>
      </w:rPr>
      <w:t>1</w:t>
    </w:r>
    <w:r w:rsidR="00000000">
      <w:rPr>
        <w:sz w:val="18"/>
        <w:szCs w:val="18"/>
      </w:rPr>
      <w:fldChar w:fldCharType="end"/>
    </w:r>
    <w:r w:rsidR="00000000">
      <w:rPr>
        <w:rFonts w:eastAsia="Times New Roman"/>
        <w:sz w:val="18"/>
        <w:szCs w:val="18"/>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1F468ED" w14:textId="77777777" w:rsidR="001F21DA" w:rsidRDefault="001F21DA">
      <w:r>
        <w:separator/>
      </w:r>
    </w:p>
  </w:footnote>
  <w:footnote w:type="continuationSeparator" w:id="0">
    <w:p w14:paraId="2C71CC2C" w14:textId="77777777" w:rsidR="001F21DA" w:rsidRDefault="001F21D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B403FB1"/>
    <w:multiLevelType w:val="hybridMultilevel"/>
    <w:tmpl w:val="6E90E8D0"/>
    <w:lvl w:ilvl="0" w:tplc="03F87DAE">
      <w:start w:val="1"/>
      <w:numFmt w:val="bullet"/>
      <w:lvlText w:val="●"/>
      <w:lvlJc w:val="left"/>
      <w:pPr>
        <w:ind w:left="720" w:hanging="360"/>
      </w:pPr>
    </w:lvl>
    <w:lvl w:ilvl="1" w:tplc="209441B8">
      <w:start w:val="1"/>
      <w:numFmt w:val="bullet"/>
      <w:lvlText w:val="○"/>
      <w:lvlJc w:val="left"/>
      <w:pPr>
        <w:ind w:left="1440" w:hanging="360"/>
      </w:pPr>
    </w:lvl>
    <w:lvl w:ilvl="2" w:tplc="8B6ACC8A">
      <w:start w:val="1"/>
      <w:numFmt w:val="bullet"/>
      <w:lvlText w:val="■"/>
      <w:lvlJc w:val="left"/>
      <w:pPr>
        <w:ind w:left="2160" w:hanging="360"/>
      </w:pPr>
    </w:lvl>
    <w:lvl w:ilvl="3" w:tplc="63DA2EE0">
      <w:start w:val="1"/>
      <w:numFmt w:val="bullet"/>
      <w:lvlText w:val="●"/>
      <w:lvlJc w:val="left"/>
      <w:pPr>
        <w:ind w:left="2880" w:hanging="360"/>
      </w:pPr>
    </w:lvl>
    <w:lvl w:ilvl="4" w:tplc="CA1AF338">
      <w:start w:val="1"/>
      <w:numFmt w:val="bullet"/>
      <w:lvlText w:val="○"/>
      <w:lvlJc w:val="left"/>
      <w:pPr>
        <w:ind w:left="3600" w:hanging="360"/>
      </w:pPr>
    </w:lvl>
    <w:lvl w:ilvl="5" w:tplc="604EFB90">
      <w:start w:val="1"/>
      <w:numFmt w:val="bullet"/>
      <w:lvlText w:val="■"/>
      <w:lvlJc w:val="left"/>
      <w:pPr>
        <w:ind w:left="4320" w:hanging="360"/>
      </w:pPr>
    </w:lvl>
    <w:lvl w:ilvl="6" w:tplc="7C4AC46C">
      <w:start w:val="1"/>
      <w:numFmt w:val="bullet"/>
      <w:lvlText w:val="●"/>
      <w:lvlJc w:val="left"/>
      <w:pPr>
        <w:ind w:left="5040" w:hanging="360"/>
      </w:pPr>
    </w:lvl>
    <w:lvl w:ilvl="7" w:tplc="086C5EB2">
      <w:start w:val="1"/>
      <w:numFmt w:val="bullet"/>
      <w:lvlText w:val="●"/>
      <w:lvlJc w:val="left"/>
      <w:pPr>
        <w:ind w:left="5760" w:hanging="360"/>
      </w:pPr>
    </w:lvl>
    <w:lvl w:ilvl="8" w:tplc="4F56FB6C">
      <w:start w:val="1"/>
      <w:numFmt w:val="bullet"/>
      <w:lvlText w:val="●"/>
      <w:lvlJc w:val="left"/>
      <w:pPr>
        <w:ind w:left="6480" w:hanging="360"/>
      </w:pPr>
    </w:lvl>
  </w:abstractNum>
  <w:num w:numId="1" w16cid:durableId="1045370473">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bordersDoNotSurroundHeader/>
  <w:bordersDoNotSurroundFooter/>
  <w:proofState w:spelling="clean" w:grammar="clean"/>
  <w:defaultTabStop w:val="48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B5718"/>
    <w:rsid w:val="00185623"/>
    <w:rsid w:val="001F21DA"/>
    <w:rsid w:val="003454D1"/>
    <w:rsid w:val="003B5718"/>
    <w:rsid w:val="0041747E"/>
    <w:rsid w:val="005A011D"/>
    <w:rsid w:val="005F7C45"/>
    <w:rsid w:val="0071290C"/>
    <w:rsid w:val="00837D00"/>
    <w:rsid w:val="008E3EC4"/>
    <w:rsid w:val="00923011"/>
    <w:rsid w:val="009D2EF1"/>
    <w:rsid w:val="00AF3191"/>
    <w:rsid w:val="00FC5F07"/>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D154CE5"/>
  <w15:docId w15:val="{28C5BB35-647C-4068-800B-03468E87A1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EastAsia" w:hAnsi="Times New Roman" w:cs="Times New Roman"/>
        <w:sz w:val="21"/>
        <w:szCs w:val="21"/>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uiPriority w:val="9"/>
    <w:qFormat/>
    <w:pPr>
      <w:outlineLvl w:val="0"/>
    </w:pPr>
    <w:rPr>
      <w:color w:val="2E74B5"/>
      <w:sz w:val="32"/>
      <w:szCs w:val="32"/>
    </w:rPr>
  </w:style>
  <w:style w:type="paragraph" w:styleId="2">
    <w:name w:val="heading 2"/>
    <w:uiPriority w:val="9"/>
    <w:semiHidden/>
    <w:unhideWhenUsed/>
    <w:qFormat/>
    <w:pPr>
      <w:outlineLvl w:val="1"/>
    </w:pPr>
    <w:rPr>
      <w:color w:val="2E74B5"/>
      <w:sz w:val="26"/>
      <w:szCs w:val="26"/>
    </w:rPr>
  </w:style>
  <w:style w:type="paragraph" w:styleId="3">
    <w:name w:val="heading 3"/>
    <w:uiPriority w:val="9"/>
    <w:semiHidden/>
    <w:unhideWhenUsed/>
    <w:qFormat/>
    <w:pPr>
      <w:outlineLvl w:val="2"/>
    </w:pPr>
    <w:rPr>
      <w:color w:val="1F4D78"/>
      <w:sz w:val="24"/>
      <w:szCs w:val="24"/>
    </w:rPr>
  </w:style>
  <w:style w:type="paragraph" w:styleId="4">
    <w:name w:val="heading 4"/>
    <w:uiPriority w:val="9"/>
    <w:semiHidden/>
    <w:unhideWhenUsed/>
    <w:qFormat/>
    <w:pPr>
      <w:outlineLvl w:val="3"/>
    </w:pPr>
    <w:rPr>
      <w:i/>
      <w:iCs/>
      <w:color w:val="2E74B5"/>
    </w:rPr>
  </w:style>
  <w:style w:type="paragraph" w:styleId="5">
    <w:name w:val="heading 5"/>
    <w:uiPriority w:val="9"/>
    <w:semiHidden/>
    <w:unhideWhenUsed/>
    <w:qFormat/>
    <w:pPr>
      <w:outlineLvl w:val="4"/>
    </w:pPr>
    <w:rPr>
      <w:color w:val="2E74B5"/>
    </w:rPr>
  </w:style>
  <w:style w:type="paragraph" w:styleId="6">
    <w:name w:val="heading 6"/>
    <w:uiPriority w:val="9"/>
    <w:semiHidden/>
    <w:unhideWhenUsed/>
    <w:qFormat/>
    <w:pPr>
      <w:outlineLvl w:val="5"/>
    </w:pPr>
    <w:rPr>
      <w:color w:val="1F4D7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uiPriority w:val="10"/>
    <w:qFormat/>
    <w:rPr>
      <w:sz w:val="56"/>
      <w:szCs w:val="56"/>
    </w:rPr>
  </w:style>
  <w:style w:type="paragraph" w:customStyle="1" w:styleId="10">
    <w:name w:val="強調粗體1"/>
    <w:qFormat/>
    <w:rPr>
      <w:b/>
      <w:bCs/>
    </w:rPr>
  </w:style>
  <w:style w:type="paragraph" w:styleId="a4">
    <w:name w:val="List Paragraph"/>
    <w:qFormat/>
  </w:style>
  <w:style w:type="character" w:styleId="a5">
    <w:name w:val="Hyperlink"/>
    <w:uiPriority w:val="99"/>
    <w:unhideWhenUsed/>
    <w:rPr>
      <w:color w:val="0563C1"/>
      <w:u w:val="single"/>
    </w:rPr>
  </w:style>
  <w:style w:type="character" w:styleId="a6">
    <w:name w:val="footnote reference"/>
    <w:uiPriority w:val="99"/>
    <w:semiHidden/>
    <w:unhideWhenUsed/>
    <w:rPr>
      <w:vertAlign w:val="superscript"/>
    </w:rPr>
  </w:style>
  <w:style w:type="paragraph" w:styleId="a7">
    <w:name w:val="footnote text"/>
    <w:link w:val="a8"/>
    <w:uiPriority w:val="99"/>
    <w:semiHidden/>
    <w:unhideWhenUsed/>
    <w:rPr>
      <w:sz w:val="20"/>
      <w:szCs w:val="20"/>
    </w:rPr>
  </w:style>
  <w:style w:type="character" w:customStyle="1" w:styleId="a8">
    <w:name w:val="註腳文字 字元"/>
    <w:link w:val="a7"/>
    <w:uiPriority w:val="99"/>
    <w:semiHidden/>
    <w:unhideWhenUsed/>
    <w:rPr>
      <w:sz w:val="20"/>
      <w:szCs w:val="20"/>
    </w:rPr>
  </w:style>
  <w:style w:type="character" w:styleId="a9">
    <w:name w:val="endnote reference"/>
    <w:uiPriority w:val="99"/>
    <w:semiHidden/>
    <w:unhideWhenUsed/>
    <w:rPr>
      <w:vertAlign w:val="superscript"/>
    </w:rPr>
  </w:style>
  <w:style w:type="paragraph" w:styleId="aa">
    <w:name w:val="endnote text"/>
    <w:link w:val="ab"/>
    <w:uiPriority w:val="99"/>
    <w:semiHidden/>
    <w:unhideWhenUsed/>
    <w:rPr>
      <w:sz w:val="20"/>
      <w:szCs w:val="20"/>
    </w:rPr>
  </w:style>
  <w:style w:type="character" w:customStyle="1" w:styleId="ab">
    <w:name w:val="章節附註文字 字元"/>
    <w:link w:val="aa"/>
    <w:uiPriority w:val="99"/>
    <w:semiHidden/>
    <w:unhideWhenUsed/>
    <w:rPr>
      <w:sz w:val="20"/>
      <w:szCs w:val="20"/>
    </w:rPr>
  </w:style>
  <w:style w:type="paragraph" w:styleId="ac">
    <w:name w:val="header"/>
    <w:basedOn w:val="a"/>
    <w:link w:val="ad"/>
    <w:uiPriority w:val="99"/>
    <w:unhideWhenUsed/>
    <w:rsid w:val="00AF3191"/>
    <w:pPr>
      <w:tabs>
        <w:tab w:val="center" w:pos="4153"/>
        <w:tab w:val="right" w:pos="8306"/>
      </w:tabs>
      <w:snapToGrid w:val="0"/>
    </w:pPr>
    <w:rPr>
      <w:sz w:val="20"/>
      <w:szCs w:val="20"/>
    </w:rPr>
  </w:style>
  <w:style w:type="character" w:customStyle="1" w:styleId="ad">
    <w:name w:val="頁首 字元"/>
    <w:basedOn w:val="a0"/>
    <w:link w:val="ac"/>
    <w:uiPriority w:val="99"/>
    <w:rsid w:val="00AF3191"/>
    <w:rPr>
      <w:sz w:val="20"/>
      <w:szCs w:val="20"/>
    </w:rPr>
  </w:style>
  <w:style w:type="paragraph" w:styleId="ae">
    <w:name w:val="footer"/>
    <w:basedOn w:val="a"/>
    <w:link w:val="af"/>
    <w:uiPriority w:val="99"/>
    <w:unhideWhenUsed/>
    <w:rsid w:val="00AF3191"/>
    <w:pPr>
      <w:tabs>
        <w:tab w:val="center" w:pos="4153"/>
        <w:tab w:val="right" w:pos="8306"/>
      </w:tabs>
      <w:snapToGrid w:val="0"/>
    </w:pPr>
    <w:rPr>
      <w:sz w:val="20"/>
      <w:szCs w:val="20"/>
    </w:rPr>
  </w:style>
  <w:style w:type="character" w:customStyle="1" w:styleId="af">
    <w:name w:val="頁尾 字元"/>
    <w:basedOn w:val="a0"/>
    <w:link w:val="ae"/>
    <w:uiPriority w:val="99"/>
    <w:rsid w:val="00AF3191"/>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75</TotalTime>
  <Pages>2</Pages>
  <Words>806</Words>
  <Characters>4597</Characters>
  <Application>Microsoft Office Word</Application>
  <DocSecurity>0</DocSecurity>
  <Lines>38</Lines>
  <Paragraphs>10</Paragraphs>
  <ScaleCrop>false</ScaleCrop>
  <Company/>
  <LinksUpToDate>false</LinksUpToDate>
  <CharactersWithSpaces>5393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shirleylam</cp:lastModifiedBy>
  <cp:revision>6</cp:revision>
  <cp:lastPrinted>2026-09-23T11:31:00Z</cp:lastPrinted>
  <dcterms:created xsi:type="dcterms:W3CDTF">2026-09-23T10:26:00Z</dcterms:created>
  <dcterms:modified xsi:type="dcterms:W3CDTF">2026-09-23T12:36:00Z</dcterms:modified>
</cp:coreProperties>
</file>