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44142" w14:textId="367530F7" w:rsidR="004B7428" w:rsidRPr="00681F05" w:rsidRDefault="005634CB">
      <w:pPr>
        <w:tabs>
          <w:tab w:val="left" w:pos="4770"/>
        </w:tabs>
        <w:autoSpaceDE w:val="0"/>
        <w:autoSpaceDN w:val="0"/>
        <w:adjustRightInd w:val="0"/>
        <w:jc w:val="both"/>
        <w:rPr>
          <w:rFonts w:ascii="Times New Roman" w:hAnsi="Times New Roman" w:cs="Times New Roman"/>
          <w:i/>
          <w:iCs/>
          <w:kern w:val="0"/>
          <w:sz w:val="21"/>
          <w:szCs w:val="21"/>
        </w:rPr>
      </w:pPr>
      <w:r w:rsidRPr="00681F05">
        <w:rPr>
          <w:rFonts w:ascii="Times New Roman" w:hAnsi="Times New Roman" w:cs="Times New Roman"/>
          <w:i/>
          <w:iCs/>
          <w:kern w:val="0"/>
          <w:sz w:val="21"/>
          <w:szCs w:val="21"/>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3C144143" w14:textId="20261AF1" w:rsidR="004B7428" w:rsidRDefault="004B7428">
      <w:pPr>
        <w:autoSpaceDE w:val="0"/>
        <w:autoSpaceDN w:val="0"/>
        <w:adjustRightInd w:val="0"/>
        <w:jc w:val="both"/>
        <w:rPr>
          <w:rFonts w:ascii="Times New Roman" w:hAnsi="Times New Roman" w:cs="Times New Roman"/>
          <w:i/>
          <w:iCs/>
          <w:kern w:val="0"/>
          <w:szCs w:val="24"/>
        </w:rPr>
      </w:pPr>
    </w:p>
    <w:p w14:paraId="786C4AF6" w14:textId="6E12EA08" w:rsidR="00BE450F" w:rsidRDefault="00B368BF">
      <w:pPr>
        <w:autoSpaceDE w:val="0"/>
        <w:autoSpaceDN w:val="0"/>
        <w:adjustRightInd w:val="0"/>
        <w:jc w:val="center"/>
        <w:rPr>
          <w:rFonts w:ascii="Times New Roman" w:hAnsi="Times New Roman" w:cs="Times New Roman"/>
          <w:b/>
          <w:bCs/>
          <w:kern w:val="0"/>
          <w:szCs w:val="24"/>
        </w:rPr>
      </w:pPr>
      <w:r>
        <w:rPr>
          <w:rFonts w:ascii="Times New Roman" w:hAnsi="Times New Roman" w:cs="Times New Roman"/>
          <w:b/>
          <w:bCs/>
          <w:noProof/>
          <w:kern w:val="0"/>
          <w:szCs w:val="24"/>
          <w:lang w:eastAsia="zh-CN"/>
        </w:rPr>
        <w:drawing>
          <wp:inline distT="0" distB="0" distL="0" distR="0" wp14:anchorId="58196B3E" wp14:editId="34E5C713">
            <wp:extent cx="1939925" cy="1383665"/>
            <wp:effectExtent l="0" t="0" r="317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9925" cy="1383665"/>
                    </a:xfrm>
                    <a:prstGeom prst="rect">
                      <a:avLst/>
                    </a:prstGeom>
                    <a:noFill/>
                    <a:ln>
                      <a:noFill/>
                    </a:ln>
                  </pic:spPr>
                </pic:pic>
              </a:graphicData>
            </a:graphic>
          </wp:inline>
        </w:drawing>
      </w:r>
    </w:p>
    <w:p w14:paraId="03C17DB9" w14:textId="0EA9F9CA" w:rsidR="00A87F61" w:rsidRDefault="00B368BF" w:rsidP="00B368BF">
      <w:pPr>
        <w:autoSpaceDE w:val="0"/>
        <w:autoSpaceDN w:val="0"/>
        <w:adjustRightInd w:val="0"/>
        <w:spacing w:line="400" w:lineRule="exact"/>
        <w:contextualSpacing/>
        <w:jc w:val="center"/>
        <w:rPr>
          <w:rFonts w:ascii="Times New Roman" w:hAnsi="Times New Roman" w:cs="Times New Roman"/>
          <w:b/>
          <w:kern w:val="0"/>
          <w:sz w:val="32"/>
          <w:szCs w:val="24"/>
        </w:rPr>
      </w:pPr>
      <w:r>
        <w:rPr>
          <w:rFonts w:ascii="Times New Roman" w:hAnsi="Times New Roman" w:cs="Times New Roman"/>
          <w:b/>
          <w:kern w:val="0"/>
          <w:sz w:val="32"/>
          <w:szCs w:val="24"/>
        </w:rPr>
        <w:t>BLOCKCHAIN GROUP COMPANY LIMITED</w:t>
      </w:r>
    </w:p>
    <w:p w14:paraId="3AC73F34" w14:textId="6E219CEB" w:rsidR="0075282D" w:rsidRDefault="0075282D" w:rsidP="0075282D">
      <w:pPr>
        <w:autoSpaceDE w:val="0"/>
        <w:autoSpaceDN w:val="0"/>
        <w:adjustRightInd w:val="0"/>
        <w:spacing w:line="400" w:lineRule="exact"/>
        <w:contextualSpacing/>
        <w:jc w:val="center"/>
        <w:rPr>
          <w:rFonts w:ascii="Times New Roman" w:hAnsi="Times New Roman" w:cs="Times New Roman"/>
          <w:b/>
          <w:kern w:val="0"/>
          <w:sz w:val="32"/>
          <w:szCs w:val="24"/>
        </w:rPr>
      </w:pPr>
      <w:r>
        <w:rPr>
          <w:rFonts w:asciiTheme="majorEastAsia" w:eastAsiaTheme="majorEastAsia" w:hAnsiTheme="majorEastAsia" w:cs="PMingLiU" w:hint="eastAsia"/>
          <w:b/>
          <w:kern w:val="0"/>
          <w:sz w:val="32"/>
          <w:szCs w:val="24"/>
        </w:rPr>
        <w:t>區</w:t>
      </w:r>
      <w:r w:rsidR="002E31A2">
        <w:rPr>
          <w:rFonts w:asciiTheme="majorEastAsia" w:eastAsiaTheme="majorEastAsia" w:hAnsiTheme="majorEastAsia" w:cs="PMingLiU" w:hint="eastAsia"/>
          <w:b/>
          <w:kern w:val="0"/>
          <w:sz w:val="32"/>
          <w:szCs w:val="24"/>
        </w:rPr>
        <w:t xml:space="preserve"> </w:t>
      </w:r>
      <w:r>
        <w:rPr>
          <w:rFonts w:asciiTheme="majorEastAsia" w:eastAsiaTheme="majorEastAsia" w:hAnsiTheme="majorEastAsia" w:cs="PMingLiU" w:hint="eastAsia"/>
          <w:b/>
          <w:kern w:val="0"/>
          <w:sz w:val="32"/>
          <w:szCs w:val="24"/>
        </w:rPr>
        <w:t>塊</w:t>
      </w:r>
      <w:r w:rsidR="002E31A2">
        <w:rPr>
          <w:rFonts w:asciiTheme="majorEastAsia" w:eastAsiaTheme="majorEastAsia" w:hAnsiTheme="majorEastAsia" w:cs="PMingLiU" w:hint="eastAsia"/>
          <w:b/>
          <w:kern w:val="0"/>
          <w:sz w:val="32"/>
          <w:szCs w:val="24"/>
        </w:rPr>
        <w:t xml:space="preserve"> </w:t>
      </w:r>
      <w:r>
        <w:rPr>
          <w:rFonts w:asciiTheme="majorEastAsia" w:eastAsiaTheme="majorEastAsia" w:hAnsiTheme="majorEastAsia" w:cs="PMingLiU" w:hint="eastAsia"/>
          <w:b/>
          <w:kern w:val="0"/>
          <w:sz w:val="32"/>
          <w:szCs w:val="24"/>
        </w:rPr>
        <w:t>鏈</w:t>
      </w:r>
      <w:r w:rsidR="002E31A2">
        <w:rPr>
          <w:rFonts w:asciiTheme="majorEastAsia" w:eastAsiaTheme="majorEastAsia" w:hAnsiTheme="majorEastAsia" w:cs="PMingLiU" w:hint="eastAsia"/>
          <w:b/>
          <w:kern w:val="0"/>
          <w:sz w:val="32"/>
          <w:szCs w:val="24"/>
        </w:rPr>
        <w:t xml:space="preserve"> </w:t>
      </w:r>
      <w:r>
        <w:rPr>
          <w:rFonts w:asciiTheme="majorEastAsia" w:eastAsiaTheme="majorEastAsia" w:hAnsiTheme="majorEastAsia" w:cs="PMingLiU" w:hint="eastAsia"/>
          <w:b/>
          <w:kern w:val="0"/>
          <w:sz w:val="32"/>
          <w:szCs w:val="24"/>
        </w:rPr>
        <w:t>集</w:t>
      </w:r>
      <w:r w:rsidR="002E31A2">
        <w:rPr>
          <w:rFonts w:asciiTheme="majorEastAsia" w:eastAsiaTheme="majorEastAsia" w:hAnsiTheme="majorEastAsia" w:cs="PMingLiU" w:hint="eastAsia"/>
          <w:b/>
          <w:kern w:val="0"/>
          <w:sz w:val="32"/>
          <w:szCs w:val="24"/>
        </w:rPr>
        <w:t xml:space="preserve"> </w:t>
      </w:r>
      <w:r>
        <w:rPr>
          <w:rFonts w:asciiTheme="majorEastAsia" w:eastAsiaTheme="majorEastAsia" w:hAnsiTheme="majorEastAsia" w:cs="PMingLiU" w:hint="eastAsia"/>
          <w:b/>
          <w:kern w:val="0"/>
          <w:sz w:val="32"/>
          <w:szCs w:val="24"/>
        </w:rPr>
        <w:t>團</w:t>
      </w:r>
      <w:r w:rsidR="002E31A2">
        <w:rPr>
          <w:rFonts w:asciiTheme="majorEastAsia" w:eastAsiaTheme="majorEastAsia" w:hAnsiTheme="majorEastAsia" w:cs="PMingLiU" w:hint="eastAsia"/>
          <w:b/>
          <w:kern w:val="0"/>
          <w:sz w:val="32"/>
          <w:szCs w:val="24"/>
        </w:rPr>
        <w:t xml:space="preserve"> </w:t>
      </w:r>
      <w:r>
        <w:rPr>
          <w:rFonts w:asciiTheme="majorEastAsia" w:eastAsiaTheme="majorEastAsia" w:hAnsiTheme="majorEastAsia" w:cs="PMingLiU" w:hint="eastAsia"/>
          <w:b/>
          <w:kern w:val="0"/>
          <w:sz w:val="32"/>
          <w:szCs w:val="24"/>
        </w:rPr>
        <w:t>有</w:t>
      </w:r>
      <w:r w:rsidR="002E31A2">
        <w:rPr>
          <w:rFonts w:asciiTheme="majorEastAsia" w:eastAsiaTheme="majorEastAsia" w:hAnsiTheme="majorEastAsia" w:cs="PMingLiU" w:hint="eastAsia"/>
          <w:b/>
          <w:kern w:val="0"/>
          <w:sz w:val="32"/>
          <w:szCs w:val="24"/>
        </w:rPr>
        <w:t xml:space="preserve"> </w:t>
      </w:r>
      <w:r>
        <w:rPr>
          <w:rFonts w:asciiTheme="majorEastAsia" w:eastAsiaTheme="majorEastAsia" w:hAnsiTheme="majorEastAsia" w:cs="PMingLiU" w:hint="eastAsia"/>
          <w:b/>
          <w:kern w:val="0"/>
          <w:sz w:val="32"/>
          <w:szCs w:val="24"/>
        </w:rPr>
        <w:t>限</w:t>
      </w:r>
      <w:r w:rsidR="002E31A2">
        <w:rPr>
          <w:rFonts w:asciiTheme="majorEastAsia" w:eastAsiaTheme="majorEastAsia" w:hAnsiTheme="majorEastAsia" w:cs="PMingLiU" w:hint="eastAsia"/>
          <w:b/>
          <w:kern w:val="0"/>
          <w:sz w:val="32"/>
          <w:szCs w:val="24"/>
        </w:rPr>
        <w:t xml:space="preserve"> </w:t>
      </w:r>
      <w:r>
        <w:rPr>
          <w:rFonts w:asciiTheme="majorEastAsia" w:eastAsiaTheme="majorEastAsia" w:hAnsiTheme="majorEastAsia" w:cs="PMingLiU" w:hint="eastAsia"/>
          <w:b/>
          <w:kern w:val="0"/>
          <w:sz w:val="32"/>
          <w:szCs w:val="24"/>
        </w:rPr>
        <w:t>公</w:t>
      </w:r>
      <w:r w:rsidR="002E31A2">
        <w:rPr>
          <w:rFonts w:asciiTheme="majorEastAsia" w:eastAsiaTheme="majorEastAsia" w:hAnsiTheme="majorEastAsia" w:cs="PMingLiU" w:hint="eastAsia"/>
          <w:b/>
          <w:kern w:val="0"/>
          <w:sz w:val="32"/>
          <w:szCs w:val="24"/>
        </w:rPr>
        <w:t xml:space="preserve"> </w:t>
      </w:r>
      <w:r>
        <w:rPr>
          <w:rFonts w:asciiTheme="majorEastAsia" w:eastAsiaTheme="majorEastAsia" w:hAnsiTheme="majorEastAsia" w:cs="PMingLiU" w:hint="eastAsia"/>
          <w:b/>
          <w:kern w:val="0"/>
          <w:sz w:val="32"/>
          <w:szCs w:val="24"/>
        </w:rPr>
        <w:t>司</w:t>
      </w:r>
    </w:p>
    <w:p w14:paraId="3C144146" w14:textId="447DB0E3" w:rsidR="004B7428" w:rsidRPr="0075282D" w:rsidRDefault="00B368BF" w:rsidP="0075282D">
      <w:pPr>
        <w:autoSpaceDE w:val="0"/>
        <w:autoSpaceDN w:val="0"/>
        <w:adjustRightInd w:val="0"/>
        <w:spacing w:line="400" w:lineRule="exact"/>
        <w:contextualSpacing/>
        <w:jc w:val="center"/>
        <w:rPr>
          <w:rFonts w:ascii="Times New Roman" w:hAnsi="Times New Roman" w:cs="Times New Roman"/>
          <w:b/>
          <w:kern w:val="0"/>
          <w:sz w:val="32"/>
          <w:szCs w:val="24"/>
        </w:rPr>
      </w:pPr>
      <w:r>
        <w:rPr>
          <w:rFonts w:ascii="Times New Roman" w:hAnsi="Times New Roman" w:cs="Times New Roman"/>
          <w:b/>
          <w:kern w:val="0"/>
          <w:sz w:val="32"/>
          <w:szCs w:val="24"/>
        </w:rPr>
        <w:t>(IN LIQUIDATION)</w:t>
      </w:r>
    </w:p>
    <w:p w14:paraId="6A5A47DF" w14:textId="37FEA422" w:rsidR="00B368BF" w:rsidRDefault="0075282D" w:rsidP="00A87F61">
      <w:pPr>
        <w:autoSpaceDE w:val="0"/>
        <w:autoSpaceDN w:val="0"/>
        <w:adjustRightInd w:val="0"/>
        <w:spacing w:line="400" w:lineRule="exact"/>
        <w:contextualSpacing/>
        <w:jc w:val="center"/>
        <w:rPr>
          <w:rFonts w:asciiTheme="majorEastAsia" w:eastAsiaTheme="majorEastAsia" w:hAnsiTheme="majorEastAsia" w:cs="Times New Roman"/>
          <w:b/>
          <w:kern w:val="0"/>
          <w:sz w:val="32"/>
          <w:szCs w:val="24"/>
        </w:rPr>
      </w:pPr>
      <w:r w:rsidRPr="00F329F6">
        <w:rPr>
          <w:rFonts w:ascii="Times New Roman" w:hAnsi="Times New Roman" w:cs="Times New Roman"/>
          <w:i/>
          <w:iCs/>
          <w:kern w:val="0"/>
          <w:sz w:val="22"/>
        </w:rPr>
        <w:t>(</w:t>
      </w:r>
      <w:r>
        <w:rPr>
          <w:rFonts w:ascii="Times New Roman" w:hAnsi="Times New Roman" w:cs="Times New Roman"/>
          <w:i/>
          <w:iCs/>
          <w:kern w:val="0"/>
          <w:sz w:val="22"/>
        </w:rPr>
        <w:t>I</w:t>
      </w:r>
      <w:r w:rsidRPr="00F329F6">
        <w:rPr>
          <w:rFonts w:ascii="Times New Roman" w:hAnsi="Times New Roman" w:cs="Times New Roman"/>
          <w:i/>
          <w:iCs/>
          <w:kern w:val="0"/>
          <w:sz w:val="22"/>
        </w:rPr>
        <w:t>ncorporated in the Cayman Islands with limited liability)</w:t>
      </w:r>
    </w:p>
    <w:p w14:paraId="3C144148" w14:textId="3EEB78A1" w:rsidR="004B7428" w:rsidRPr="0075282D" w:rsidRDefault="00B368BF" w:rsidP="0075282D">
      <w:pPr>
        <w:autoSpaceDE w:val="0"/>
        <w:autoSpaceDN w:val="0"/>
        <w:adjustRightInd w:val="0"/>
        <w:spacing w:line="400" w:lineRule="exact"/>
        <w:contextualSpacing/>
        <w:jc w:val="center"/>
        <w:rPr>
          <w:rFonts w:asciiTheme="majorEastAsia" w:eastAsiaTheme="majorEastAsia" w:hAnsiTheme="majorEastAsia" w:cs="Times New Roman"/>
          <w:b/>
          <w:kern w:val="0"/>
          <w:sz w:val="32"/>
          <w:szCs w:val="24"/>
        </w:rPr>
      </w:pPr>
      <w:r>
        <w:rPr>
          <w:rFonts w:ascii="Times New Roman" w:hAnsi="Times New Roman" w:cs="Times New Roman"/>
          <w:b/>
          <w:bCs/>
          <w:kern w:val="0"/>
          <w:szCs w:val="24"/>
        </w:rPr>
        <w:t>(Stock Code: 364)</w:t>
      </w:r>
      <w:r w:rsidRPr="00F329F6">
        <w:rPr>
          <w:rFonts w:ascii="Times New Roman" w:hAnsi="Times New Roman" w:cs="Times New Roman"/>
          <w:i/>
          <w:iCs/>
          <w:kern w:val="0"/>
          <w:sz w:val="22"/>
        </w:rPr>
        <w:t xml:space="preserve"> </w:t>
      </w:r>
    </w:p>
    <w:p w14:paraId="3C14414A" w14:textId="79C958F5" w:rsidR="004B7428" w:rsidRDefault="004B7428">
      <w:pPr>
        <w:autoSpaceDE w:val="0"/>
        <w:autoSpaceDN w:val="0"/>
        <w:adjustRightInd w:val="0"/>
        <w:jc w:val="center"/>
        <w:rPr>
          <w:rFonts w:ascii="Times New Roman" w:hAnsi="Times New Roman" w:cs="Times New Roman"/>
          <w:b/>
          <w:bCs/>
          <w:kern w:val="0"/>
          <w:szCs w:val="24"/>
        </w:rPr>
      </w:pPr>
    </w:p>
    <w:p w14:paraId="02554E2C" w14:textId="57498B18" w:rsidR="004E22D5" w:rsidRDefault="00F33152" w:rsidP="00F94C8B">
      <w:pPr>
        <w:autoSpaceDE w:val="0"/>
        <w:autoSpaceDN w:val="0"/>
        <w:adjustRightInd w:val="0"/>
        <w:jc w:val="center"/>
        <w:rPr>
          <w:rFonts w:ascii="Times New Roman" w:hAnsi="Times New Roman" w:cs="Times New Roman"/>
          <w:b/>
          <w:kern w:val="0"/>
          <w:szCs w:val="24"/>
        </w:rPr>
      </w:pPr>
      <w:r>
        <w:rPr>
          <w:rFonts w:ascii="Times New Roman" w:hAnsi="Times New Roman" w:cs="Times New Roman"/>
          <w:b/>
          <w:bCs/>
          <w:kern w:val="0"/>
          <w:szCs w:val="24"/>
        </w:rPr>
        <w:t>QUARTERLY UPDATE ON STATUS OF RESUMPTION</w:t>
      </w:r>
    </w:p>
    <w:p w14:paraId="3C14414F" w14:textId="77777777" w:rsidR="004B7428" w:rsidRPr="001D6A56" w:rsidRDefault="004B7428" w:rsidP="00E141F9">
      <w:pPr>
        <w:autoSpaceDE w:val="0"/>
        <w:autoSpaceDN w:val="0"/>
        <w:adjustRightInd w:val="0"/>
        <w:jc w:val="both"/>
        <w:rPr>
          <w:rFonts w:ascii="Times New Roman" w:hAnsi="Times New Roman" w:cs="Times New Roman"/>
          <w:kern w:val="0"/>
          <w:sz w:val="22"/>
        </w:rPr>
      </w:pPr>
    </w:p>
    <w:p w14:paraId="22D282FB" w14:textId="3771DD6A" w:rsidR="00F94C8B" w:rsidRDefault="00F33152" w:rsidP="008E477D">
      <w:pPr>
        <w:autoSpaceDE w:val="0"/>
        <w:autoSpaceDN w:val="0"/>
        <w:adjustRightInd w:val="0"/>
        <w:jc w:val="both"/>
        <w:rPr>
          <w:rFonts w:ascii="Times New Roman" w:hAnsi="Times New Roman" w:cs="Times New Roman"/>
          <w:sz w:val="22"/>
        </w:rPr>
      </w:pPr>
      <w:r w:rsidRPr="00F33152">
        <w:rPr>
          <w:rFonts w:ascii="Times New Roman" w:hAnsi="Times New Roman" w:cs="Times New Roman"/>
          <w:sz w:val="22"/>
        </w:rPr>
        <w:t>This announcement is made by Blockchain Group Company Limited (In Liquidation) (the “</w:t>
      </w:r>
      <w:r w:rsidRPr="00F33152">
        <w:rPr>
          <w:rFonts w:ascii="Times New Roman" w:hAnsi="Times New Roman" w:cs="Times New Roman"/>
          <w:b/>
          <w:sz w:val="22"/>
        </w:rPr>
        <w:t>Company</w:t>
      </w:r>
      <w:r w:rsidRPr="00F33152">
        <w:rPr>
          <w:rFonts w:ascii="Times New Roman" w:hAnsi="Times New Roman" w:cs="Times New Roman"/>
          <w:sz w:val="22"/>
        </w:rPr>
        <w:t>”, together with its subsidiaries, the “</w:t>
      </w:r>
      <w:r w:rsidRPr="00F33152">
        <w:rPr>
          <w:rFonts w:ascii="Times New Roman" w:hAnsi="Times New Roman" w:cs="Times New Roman"/>
          <w:b/>
          <w:sz w:val="22"/>
        </w:rPr>
        <w:t>Group</w:t>
      </w:r>
      <w:r w:rsidRPr="00F33152">
        <w:rPr>
          <w:rFonts w:ascii="Times New Roman" w:hAnsi="Times New Roman" w:cs="Times New Roman"/>
          <w:sz w:val="22"/>
        </w:rPr>
        <w:t xml:space="preserve">”) pursuant to Rule 13.24A of the Rules Governing the Listing of Securities </w:t>
      </w:r>
      <w:r w:rsidR="009A4D13" w:rsidRPr="002D10D3">
        <w:rPr>
          <w:rFonts w:ascii="Times New Roman" w:hAnsi="Times New Roman" w:cs="Times New Roman"/>
          <w:sz w:val="22"/>
        </w:rPr>
        <w:t>(the “</w:t>
      </w:r>
      <w:r w:rsidR="009A4D13" w:rsidRPr="002D10D3">
        <w:rPr>
          <w:rFonts w:ascii="Times New Roman" w:hAnsi="Times New Roman" w:cs="Times New Roman"/>
          <w:b/>
          <w:sz w:val="22"/>
        </w:rPr>
        <w:t>Listing Rules</w:t>
      </w:r>
      <w:r w:rsidR="009A4D13" w:rsidRPr="002D10D3">
        <w:rPr>
          <w:rFonts w:ascii="Times New Roman" w:hAnsi="Times New Roman" w:cs="Times New Roman"/>
          <w:sz w:val="22"/>
        </w:rPr>
        <w:t xml:space="preserve">”) </w:t>
      </w:r>
      <w:r w:rsidRPr="00F33152">
        <w:rPr>
          <w:rFonts w:ascii="Times New Roman" w:hAnsi="Times New Roman" w:cs="Times New Roman"/>
          <w:sz w:val="22"/>
        </w:rPr>
        <w:t>on The Stock Exchange of Hong Kong Limited (the “</w:t>
      </w:r>
      <w:r w:rsidRPr="00F33152">
        <w:rPr>
          <w:rFonts w:ascii="Times New Roman" w:hAnsi="Times New Roman" w:cs="Times New Roman"/>
          <w:b/>
          <w:sz w:val="22"/>
        </w:rPr>
        <w:t>Stock Exchange</w:t>
      </w:r>
      <w:r w:rsidRPr="00F33152">
        <w:rPr>
          <w:rFonts w:ascii="Times New Roman" w:hAnsi="Times New Roman" w:cs="Times New Roman"/>
          <w:sz w:val="22"/>
        </w:rPr>
        <w:t>”), and the Inside</w:t>
      </w:r>
      <w:r w:rsidR="009445A4">
        <w:rPr>
          <w:rFonts w:ascii="Times New Roman" w:hAnsi="Times New Roman" w:cs="Times New Roman"/>
          <w:sz w:val="22"/>
        </w:rPr>
        <w:t xml:space="preserve"> </w:t>
      </w:r>
      <w:r w:rsidRPr="00F33152">
        <w:rPr>
          <w:rFonts w:ascii="Times New Roman" w:hAnsi="Times New Roman" w:cs="Times New Roman"/>
          <w:sz w:val="22"/>
        </w:rPr>
        <w:t xml:space="preserve">Information Provisions (as defined under the Listing Rules) under Part XIVA of the Securities and Futures Ordinance (Chapter 571 of the Laws of Hong Kong). References are made to the announcements of the Company dated </w:t>
      </w:r>
      <w:r w:rsidR="008E477D" w:rsidRPr="008E477D">
        <w:rPr>
          <w:rFonts w:ascii="Times New Roman" w:hAnsi="Times New Roman" w:cs="Times New Roman"/>
          <w:sz w:val="22"/>
        </w:rPr>
        <w:t>26 November 2018, 19 February 2019, 12 March 2019, 29 March 2019, 23 May 2019, 19</w:t>
      </w:r>
      <w:r w:rsidR="008E477D">
        <w:rPr>
          <w:rFonts w:ascii="Times New Roman" w:hAnsi="Times New Roman" w:cs="Times New Roman"/>
          <w:sz w:val="22"/>
        </w:rPr>
        <w:t xml:space="preserve"> </w:t>
      </w:r>
      <w:r w:rsidR="008E477D" w:rsidRPr="008E477D">
        <w:rPr>
          <w:rFonts w:ascii="Times New Roman" w:hAnsi="Times New Roman" w:cs="Times New Roman"/>
          <w:sz w:val="22"/>
        </w:rPr>
        <w:t>June 2019</w:t>
      </w:r>
      <w:r w:rsidR="008E477D" w:rsidRPr="00F33152">
        <w:rPr>
          <w:rFonts w:ascii="Times New Roman" w:hAnsi="Times New Roman" w:cs="Times New Roman"/>
          <w:sz w:val="22"/>
        </w:rPr>
        <w:t>,</w:t>
      </w:r>
      <w:r w:rsidR="008E477D">
        <w:rPr>
          <w:rFonts w:ascii="Times New Roman" w:hAnsi="Times New Roman" w:cs="Times New Roman"/>
          <w:sz w:val="22"/>
        </w:rPr>
        <w:t xml:space="preserve"> </w:t>
      </w:r>
      <w:r w:rsidR="004E6A02">
        <w:rPr>
          <w:rFonts w:ascii="Times New Roman" w:hAnsi="Times New Roman" w:cs="Times New Roman"/>
          <w:sz w:val="22"/>
        </w:rPr>
        <w:t xml:space="preserve">23 August 2019, </w:t>
      </w:r>
      <w:r w:rsidR="00F644D1">
        <w:rPr>
          <w:rFonts w:ascii="Times New Roman" w:hAnsi="Times New Roman" w:cs="Times New Roman"/>
          <w:sz w:val="22"/>
        </w:rPr>
        <w:t xml:space="preserve">21 October 2019, </w:t>
      </w:r>
      <w:r w:rsidR="003A31C3">
        <w:rPr>
          <w:rFonts w:ascii="Times New Roman" w:hAnsi="Times New Roman" w:cs="Times New Roman"/>
          <w:sz w:val="22"/>
        </w:rPr>
        <w:t>2</w:t>
      </w:r>
      <w:r w:rsidR="00705E1C">
        <w:rPr>
          <w:rFonts w:ascii="Times New Roman" w:hAnsi="Times New Roman" w:cs="Times New Roman"/>
          <w:sz w:val="22"/>
        </w:rPr>
        <w:t>8</w:t>
      </w:r>
      <w:r w:rsidR="003A31C3">
        <w:rPr>
          <w:rFonts w:ascii="Times New Roman" w:hAnsi="Times New Roman" w:cs="Times New Roman"/>
          <w:sz w:val="22"/>
        </w:rPr>
        <w:t xml:space="preserve"> October </w:t>
      </w:r>
      <w:r w:rsidR="00F644D1">
        <w:rPr>
          <w:rFonts w:ascii="Times New Roman" w:hAnsi="Times New Roman" w:cs="Times New Roman"/>
          <w:sz w:val="22"/>
        </w:rPr>
        <w:t xml:space="preserve">2019, </w:t>
      </w:r>
      <w:r w:rsidR="004E6A02">
        <w:rPr>
          <w:rFonts w:ascii="Times New Roman" w:hAnsi="Times New Roman" w:cs="Times New Roman"/>
          <w:sz w:val="22"/>
        </w:rPr>
        <w:t xml:space="preserve">18 November </w:t>
      </w:r>
      <w:r w:rsidR="00F644D1">
        <w:rPr>
          <w:rFonts w:ascii="Times New Roman" w:hAnsi="Times New Roman" w:cs="Times New Roman"/>
          <w:sz w:val="22"/>
        </w:rPr>
        <w:t xml:space="preserve">2019 and 13 January 2020 </w:t>
      </w:r>
      <w:r w:rsidRPr="00F33152">
        <w:rPr>
          <w:rFonts w:ascii="Times New Roman" w:hAnsi="Times New Roman" w:cs="Times New Roman"/>
          <w:sz w:val="22"/>
        </w:rPr>
        <w:t>(collectively, the “</w:t>
      </w:r>
      <w:r w:rsidRPr="00F33152">
        <w:rPr>
          <w:rFonts w:ascii="Times New Roman" w:hAnsi="Times New Roman" w:cs="Times New Roman"/>
          <w:b/>
          <w:sz w:val="22"/>
        </w:rPr>
        <w:t>Announcements</w:t>
      </w:r>
      <w:r w:rsidRPr="00F33152">
        <w:rPr>
          <w:rFonts w:ascii="Times New Roman" w:hAnsi="Times New Roman" w:cs="Times New Roman"/>
          <w:sz w:val="22"/>
        </w:rPr>
        <w:t xml:space="preserve">”). Unless otherwise specified, </w:t>
      </w:r>
      <w:proofErr w:type="spellStart"/>
      <w:r w:rsidRPr="00F33152">
        <w:rPr>
          <w:rFonts w:ascii="Times New Roman" w:hAnsi="Times New Roman" w:cs="Times New Roman"/>
          <w:sz w:val="22"/>
        </w:rPr>
        <w:t>capitalised</w:t>
      </w:r>
      <w:proofErr w:type="spellEnd"/>
      <w:r w:rsidRPr="00F33152">
        <w:rPr>
          <w:rFonts w:ascii="Times New Roman" w:hAnsi="Times New Roman" w:cs="Times New Roman"/>
          <w:sz w:val="22"/>
        </w:rPr>
        <w:t xml:space="preserve"> terms shall have the same meanings as those defined in the Announcements.  </w:t>
      </w:r>
    </w:p>
    <w:p w14:paraId="2444F878" w14:textId="7537649D" w:rsidR="00F33152" w:rsidRDefault="00F33152">
      <w:pPr>
        <w:autoSpaceDE w:val="0"/>
        <w:autoSpaceDN w:val="0"/>
        <w:adjustRightInd w:val="0"/>
        <w:jc w:val="both"/>
        <w:rPr>
          <w:rFonts w:ascii="Times New Roman" w:hAnsi="Times New Roman" w:cs="Times New Roman"/>
          <w:kern w:val="0"/>
          <w:sz w:val="22"/>
        </w:rPr>
      </w:pPr>
    </w:p>
    <w:p w14:paraId="292063DD" w14:textId="26F653FB" w:rsidR="00840361" w:rsidRDefault="00840361" w:rsidP="00840361">
      <w:pPr>
        <w:autoSpaceDE w:val="0"/>
        <w:autoSpaceDN w:val="0"/>
        <w:adjustRightInd w:val="0"/>
        <w:jc w:val="both"/>
        <w:rPr>
          <w:rFonts w:ascii="Times New Roman" w:eastAsia="宋体" w:hAnsi="Times New Roman" w:cs="Times New Roman"/>
          <w:b/>
          <w:sz w:val="22"/>
          <w:lang w:eastAsia="zh-CN"/>
        </w:rPr>
      </w:pPr>
      <w:r w:rsidRPr="00DE07B6">
        <w:rPr>
          <w:rFonts w:ascii="Times New Roman" w:eastAsia="宋体" w:hAnsi="Times New Roman" w:cs="Times New Roman"/>
          <w:b/>
          <w:sz w:val="22"/>
          <w:lang w:eastAsia="zh-CN"/>
        </w:rPr>
        <w:t>UPDATE ON THE BUSINESS OPERATIONS OF THE GROUP</w:t>
      </w:r>
    </w:p>
    <w:p w14:paraId="0918959D" w14:textId="4070765C" w:rsidR="000D2B36" w:rsidRDefault="000D2B36" w:rsidP="00840361">
      <w:pPr>
        <w:autoSpaceDE w:val="0"/>
        <w:autoSpaceDN w:val="0"/>
        <w:adjustRightInd w:val="0"/>
        <w:jc w:val="both"/>
        <w:rPr>
          <w:rFonts w:ascii="Times New Roman" w:eastAsia="宋体" w:hAnsi="Times New Roman" w:cs="Times New Roman"/>
          <w:sz w:val="22"/>
          <w:lang w:eastAsia="zh-CN"/>
        </w:rPr>
      </w:pPr>
    </w:p>
    <w:p w14:paraId="492350C9" w14:textId="3B52AE7F" w:rsidR="00840361" w:rsidRDefault="00840361" w:rsidP="00681195">
      <w:pPr>
        <w:autoSpaceDE w:val="0"/>
        <w:autoSpaceDN w:val="0"/>
        <w:adjustRightInd w:val="0"/>
        <w:jc w:val="both"/>
        <w:rPr>
          <w:rFonts w:ascii="Times New Roman" w:eastAsia="宋体" w:hAnsi="Times New Roman" w:cs="Times New Roman"/>
          <w:sz w:val="22"/>
          <w:lang w:eastAsia="zh-CN"/>
        </w:rPr>
      </w:pPr>
      <w:r>
        <w:rPr>
          <w:rFonts w:ascii="Times New Roman" w:eastAsia="宋体" w:hAnsi="Times New Roman" w:cs="Times New Roman"/>
          <w:sz w:val="22"/>
          <w:lang w:eastAsia="zh-CN"/>
        </w:rPr>
        <w:t>T</w:t>
      </w:r>
      <w:r w:rsidRPr="00DE07B6">
        <w:rPr>
          <w:rFonts w:ascii="Times New Roman" w:eastAsia="宋体" w:hAnsi="Times New Roman" w:cs="Times New Roman"/>
          <w:sz w:val="22"/>
          <w:lang w:eastAsia="zh-CN"/>
        </w:rPr>
        <w:t xml:space="preserve">he Group </w:t>
      </w:r>
      <w:r>
        <w:rPr>
          <w:rFonts w:ascii="Times New Roman" w:eastAsia="宋体" w:hAnsi="Times New Roman" w:cs="Times New Roman"/>
          <w:sz w:val="22"/>
          <w:lang w:eastAsia="zh-CN"/>
        </w:rPr>
        <w:t xml:space="preserve">is </w:t>
      </w:r>
      <w:r w:rsidRPr="00DE07B6">
        <w:rPr>
          <w:rFonts w:ascii="Times New Roman" w:eastAsia="宋体" w:hAnsi="Times New Roman" w:cs="Times New Roman"/>
          <w:sz w:val="22"/>
          <w:lang w:eastAsia="zh-CN"/>
        </w:rPr>
        <w:t xml:space="preserve">principally </w:t>
      </w:r>
      <w:r>
        <w:rPr>
          <w:rFonts w:ascii="Times New Roman" w:eastAsia="宋体" w:hAnsi="Times New Roman" w:cs="Times New Roman"/>
          <w:sz w:val="22"/>
          <w:lang w:eastAsia="zh-CN"/>
        </w:rPr>
        <w:t xml:space="preserve">engaged in </w:t>
      </w:r>
      <w:r w:rsidR="00FA2DBC">
        <w:rPr>
          <w:rFonts w:ascii="Times New Roman" w:eastAsia="宋体" w:hAnsi="Times New Roman" w:cs="Times New Roman"/>
          <w:sz w:val="22"/>
          <w:lang w:eastAsia="zh-CN"/>
        </w:rPr>
        <w:t xml:space="preserve">the </w:t>
      </w:r>
      <w:r>
        <w:rPr>
          <w:rFonts w:ascii="Times New Roman" w:eastAsia="宋体" w:hAnsi="Times New Roman" w:cs="Times New Roman"/>
          <w:sz w:val="22"/>
          <w:lang w:eastAsia="zh-CN"/>
        </w:rPr>
        <w:t xml:space="preserve">manufacture and </w:t>
      </w:r>
      <w:r w:rsidRPr="00DE07B6">
        <w:rPr>
          <w:rFonts w:ascii="Times New Roman" w:eastAsia="宋体" w:hAnsi="Times New Roman" w:cs="Times New Roman"/>
          <w:sz w:val="22"/>
          <w:lang w:eastAsia="zh-CN"/>
        </w:rPr>
        <w:t>sale of raw teas,</w:t>
      </w:r>
      <w:r w:rsidRPr="00DE07B6">
        <w:t xml:space="preserve"> </w:t>
      </w:r>
      <w:r w:rsidRPr="00DE07B6">
        <w:rPr>
          <w:rFonts w:ascii="Times New Roman" w:eastAsia="宋体" w:hAnsi="Times New Roman" w:cs="Times New Roman"/>
          <w:sz w:val="22"/>
          <w:lang w:eastAsia="zh-CN"/>
        </w:rPr>
        <w:t>refined teas and other related products</w:t>
      </w:r>
      <w:r>
        <w:rPr>
          <w:rFonts w:ascii="Times New Roman" w:eastAsia="宋体" w:hAnsi="Times New Roman" w:cs="Times New Roman"/>
          <w:sz w:val="22"/>
          <w:lang w:eastAsia="zh-CN"/>
        </w:rPr>
        <w:t>. The Group has been conducting its business operation and generating</w:t>
      </w:r>
      <w:r w:rsidRPr="00DE07B6">
        <w:rPr>
          <w:rFonts w:ascii="Times New Roman" w:eastAsia="宋体" w:hAnsi="Times New Roman" w:cs="Times New Roman"/>
          <w:sz w:val="22"/>
          <w:lang w:eastAsia="zh-CN"/>
        </w:rPr>
        <w:t xml:space="preserve"> revenue in the People’s Republic of China (the “</w:t>
      </w:r>
      <w:r w:rsidRPr="002D10D3">
        <w:rPr>
          <w:rFonts w:ascii="Times New Roman" w:eastAsia="宋体" w:hAnsi="Times New Roman" w:cs="Times New Roman"/>
          <w:b/>
          <w:sz w:val="22"/>
          <w:lang w:eastAsia="zh-CN"/>
        </w:rPr>
        <w:t>PRC</w:t>
      </w:r>
      <w:r w:rsidRPr="00DE07B6">
        <w:rPr>
          <w:rFonts w:ascii="Times New Roman" w:eastAsia="宋体" w:hAnsi="Times New Roman" w:cs="Times New Roman"/>
          <w:sz w:val="22"/>
          <w:lang w:eastAsia="zh-CN"/>
        </w:rPr>
        <w:t>”).</w:t>
      </w:r>
    </w:p>
    <w:p w14:paraId="576DE1D4" w14:textId="3DC2ED3F" w:rsidR="000C18A7" w:rsidRDefault="000C18A7">
      <w:pPr>
        <w:autoSpaceDE w:val="0"/>
        <w:autoSpaceDN w:val="0"/>
        <w:adjustRightInd w:val="0"/>
        <w:jc w:val="both"/>
        <w:rPr>
          <w:rFonts w:ascii="Times New Roman" w:eastAsia="宋体" w:hAnsi="Times New Roman" w:cs="Times New Roman"/>
          <w:sz w:val="22"/>
          <w:lang w:eastAsia="zh-CN"/>
        </w:rPr>
      </w:pPr>
    </w:p>
    <w:p w14:paraId="7A145350" w14:textId="77777777" w:rsidR="002071EF" w:rsidRDefault="002071EF">
      <w:pPr>
        <w:autoSpaceDE w:val="0"/>
        <w:autoSpaceDN w:val="0"/>
        <w:adjustRightInd w:val="0"/>
        <w:jc w:val="both"/>
        <w:rPr>
          <w:rFonts w:ascii="Times New Roman" w:eastAsia="宋体" w:hAnsi="Times New Roman" w:cs="Times New Roman"/>
          <w:sz w:val="22"/>
          <w:lang w:eastAsia="zh-CN"/>
        </w:rPr>
      </w:pPr>
    </w:p>
    <w:p w14:paraId="701568C4" w14:textId="79F23AAE" w:rsidR="00840361" w:rsidRDefault="000C18A7">
      <w:pPr>
        <w:autoSpaceDE w:val="0"/>
        <w:autoSpaceDN w:val="0"/>
        <w:adjustRightInd w:val="0"/>
        <w:jc w:val="both"/>
        <w:rPr>
          <w:rFonts w:ascii="Times New Roman" w:eastAsia="宋体" w:hAnsi="Times New Roman" w:cs="Times New Roman"/>
          <w:sz w:val="22"/>
          <w:lang w:eastAsia="zh-CN"/>
        </w:rPr>
      </w:pPr>
      <w:r>
        <w:rPr>
          <w:rFonts w:ascii="Times New Roman" w:eastAsia="宋体" w:hAnsi="Times New Roman" w:cs="Times New Roman"/>
          <w:sz w:val="22"/>
          <w:lang w:eastAsia="zh-CN"/>
        </w:rPr>
        <w:lastRenderedPageBreak/>
        <w:t xml:space="preserve">As disclosed in the announcement of the Company dated 23 August </w:t>
      </w:r>
      <w:r w:rsidR="004E6A02">
        <w:rPr>
          <w:rFonts w:ascii="Times New Roman" w:eastAsia="宋体" w:hAnsi="Times New Roman" w:cs="Times New Roman"/>
          <w:sz w:val="22"/>
          <w:lang w:eastAsia="zh-CN"/>
        </w:rPr>
        <w:t xml:space="preserve">and 18 November </w:t>
      </w:r>
      <w:r>
        <w:rPr>
          <w:rFonts w:ascii="Times New Roman" w:eastAsia="宋体" w:hAnsi="Times New Roman" w:cs="Times New Roman"/>
          <w:sz w:val="22"/>
          <w:lang w:eastAsia="zh-CN"/>
        </w:rPr>
        <w:t xml:space="preserve">2019, </w:t>
      </w:r>
      <w:r w:rsidRPr="000C18A7">
        <w:rPr>
          <w:rFonts w:ascii="Times New Roman" w:eastAsia="宋体" w:hAnsi="Times New Roman" w:cs="Times New Roman"/>
          <w:sz w:val="22"/>
          <w:lang w:eastAsia="zh-CN"/>
        </w:rPr>
        <w:t>the Liquidators have gained access to limited financial information of certain subsidiaries of the Group in the PRC</w:t>
      </w:r>
      <w:r w:rsidR="00C134EA">
        <w:rPr>
          <w:rFonts w:ascii="Times New Roman" w:eastAsia="宋体" w:hAnsi="Times New Roman" w:cs="Times New Roman"/>
          <w:sz w:val="22"/>
          <w:lang w:eastAsia="zh-CN"/>
        </w:rPr>
        <w:t xml:space="preserve">.  </w:t>
      </w:r>
      <w:r w:rsidR="003C2BC8">
        <w:rPr>
          <w:rFonts w:ascii="Times New Roman" w:eastAsia="宋体" w:hAnsi="Times New Roman" w:cs="Times New Roman"/>
          <w:sz w:val="22"/>
          <w:lang w:eastAsia="zh-CN"/>
        </w:rPr>
        <w:t xml:space="preserve">According to </w:t>
      </w:r>
      <w:r w:rsidR="00312084">
        <w:rPr>
          <w:rFonts w:ascii="Times New Roman" w:eastAsia="宋体" w:hAnsi="Times New Roman" w:cs="Times New Roman"/>
          <w:sz w:val="22"/>
          <w:lang w:eastAsia="zh-CN"/>
        </w:rPr>
        <w:t xml:space="preserve">the </w:t>
      </w:r>
      <w:r w:rsidR="003C2BC8">
        <w:rPr>
          <w:rFonts w:ascii="Times New Roman" w:eastAsia="宋体" w:hAnsi="Times New Roman" w:cs="Times New Roman"/>
          <w:sz w:val="22"/>
          <w:lang w:eastAsia="zh-CN"/>
        </w:rPr>
        <w:t xml:space="preserve">information currently made available to the Liquidators, </w:t>
      </w:r>
      <w:r w:rsidR="00AA1609">
        <w:rPr>
          <w:rFonts w:ascii="Times New Roman" w:eastAsia="宋体" w:hAnsi="Times New Roman" w:cs="Times New Roman"/>
          <w:sz w:val="22"/>
          <w:lang w:eastAsia="zh-CN"/>
        </w:rPr>
        <w:t xml:space="preserve">the Group has continued to maintain its business operations and </w:t>
      </w:r>
      <w:r w:rsidR="008F4490" w:rsidRPr="008F4490">
        <w:rPr>
          <w:rFonts w:ascii="Times New Roman" w:eastAsia="宋体" w:hAnsi="Times New Roman" w:cs="Times New Roman"/>
          <w:sz w:val="22"/>
          <w:lang w:eastAsia="zh-CN"/>
        </w:rPr>
        <w:t xml:space="preserve">there is no update </w:t>
      </w:r>
      <w:r w:rsidR="00AA1609">
        <w:rPr>
          <w:rFonts w:ascii="Times New Roman" w:eastAsia="宋体" w:hAnsi="Times New Roman" w:cs="Times New Roman"/>
          <w:sz w:val="22"/>
          <w:lang w:eastAsia="zh-CN"/>
        </w:rPr>
        <w:t>in this respect</w:t>
      </w:r>
      <w:r w:rsidR="008F4490" w:rsidRPr="008F4490">
        <w:rPr>
          <w:rFonts w:ascii="Times New Roman" w:eastAsia="宋体" w:hAnsi="Times New Roman" w:cs="Times New Roman"/>
          <w:sz w:val="22"/>
          <w:lang w:eastAsia="zh-CN"/>
        </w:rPr>
        <w:t xml:space="preserve"> </w:t>
      </w:r>
      <w:r w:rsidR="00AA1609">
        <w:rPr>
          <w:rFonts w:ascii="Times New Roman" w:eastAsia="宋体" w:hAnsi="Times New Roman" w:cs="Times New Roman"/>
          <w:sz w:val="22"/>
          <w:lang w:eastAsia="zh-CN"/>
        </w:rPr>
        <w:t>further to the relevant disclosure made in</w:t>
      </w:r>
      <w:r w:rsidR="00AA1609" w:rsidRPr="008F4490">
        <w:rPr>
          <w:rFonts w:ascii="Times New Roman" w:eastAsia="宋体" w:hAnsi="Times New Roman" w:cs="Times New Roman"/>
          <w:sz w:val="22"/>
          <w:lang w:eastAsia="zh-CN"/>
        </w:rPr>
        <w:t xml:space="preserve"> </w:t>
      </w:r>
      <w:r w:rsidR="008F4490" w:rsidRPr="008F4490">
        <w:rPr>
          <w:rFonts w:ascii="Times New Roman" w:eastAsia="宋体" w:hAnsi="Times New Roman" w:cs="Times New Roman"/>
          <w:sz w:val="22"/>
          <w:lang w:eastAsia="zh-CN"/>
        </w:rPr>
        <w:t>the quarterly update announcement of t</w:t>
      </w:r>
      <w:r w:rsidR="008F4490">
        <w:rPr>
          <w:rFonts w:ascii="Times New Roman" w:eastAsia="宋体" w:hAnsi="Times New Roman" w:cs="Times New Roman"/>
          <w:sz w:val="22"/>
          <w:lang w:eastAsia="zh-CN"/>
        </w:rPr>
        <w:t xml:space="preserve">he Company dated </w:t>
      </w:r>
      <w:r w:rsidR="00706DAC">
        <w:rPr>
          <w:rFonts w:ascii="Times New Roman" w:eastAsia="宋体" w:hAnsi="Times New Roman" w:cs="Times New Roman"/>
          <w:sz w:val="22"/>
          <w:lang w:eastAsia="zh-CN"/>
        </w:rPr>
        <w:t>18</w:t>
      </w:r>
      <w:r w:rsidR="008F4490">
        <w:rPr>
          <w:rFonts w:ascii="Times New Roman" w:eastAsia="宋体" w:hAnsi="Times New Roman" w:cs="Times New Roman"/>
          <w:sz w:val="22"/>
          <w:lang w:eastAsia="zh-CN"/>
        </w:rPr>
        <w:t xml:space="preserve"> </w:t>
      </w:r>
      <w:r w:rsidR="00706DAC">
        <w:rPr>
          <w:rFonts w:ascii="Times New Roman" w:eastAsia="宋体" w:hAnsi="Times New Roman" w:cs="Times New Roman"/>
          <w:sz w:val="22"/>
          <w:lang w:eastAsia="zh-CN"/>
        </w:rPr>
        <w:t>November</w:t>
      </w:r>
      <w:r w:rsidR="008F4490">
        <w:rPr>
          <w:rFonts w:ascii="Times New Roman" w:eastAsia="宋体" w:hAnsi="Times New Roman" w:cs="Times New Roman"/>
          <w:sz w:val="22"/>
          <w:lang w:eastAsia="zh-CN"/>
        </w:rPr>
        <w:t xml:space="preserve"> 2019</w:t>
      </w:r>
      <w:r w:rsidR="008F4490" w:rsidRPr="008F4490">
        <w:rPr>
          <w:rFonts w:ascii="Times New Roman" w:eastAsia="宋体" w:hAnsi="Times New Roman" w:cs="Times New Roman"/>
          <w:sz w:val="22"/>
          <w:lang w:eastAsia="zh-CN"/>
        </w:rPr>
        <w:t>.</w:t>
      </w:r>
    </w:p>
    <w:p w14:paraId="28ED8DAF" w14:textId="6EFD46BF" w:rsidR="003C2BC8" w:rsidRDefault="003C2BC8" w:rsidP="00681195">
      <w:pPr>
        <w:autoSpaceDE w:val="0"/>
        <w:autoSpaceDN w:val="0"/>
        <w:adjustRightInd w:val="0"/>
        <w:jc w:val="both"/>
        <w:rPr>
          <w:rFonts w:ascii="Times New Roman" w:eastAsia="宋体" w:hAnsi="Times New Roman" w:cs="Times New Roman"/>
          <w:sz w:val="22"/>
          <w:lang w:eastAsia="zh-CN"/>
        </w:rPr>
      </w:pPr>
    </w:p>
    <w:p w14:paraId="22785F15" w14:textId="23D5A865" w:rsidR="00840361" w:rsidRDefault="0074149F" w:rsidP="00681195">
      <w:pPr>
        <w:autoSpaceDE w:val="0"/>
        <w:autoSpaceDN w:val="0"/>
        <w:adjustRightInd w:val="0"/>
        <w:jc w:val="both"/>
        <w:rPr>
          <w:rFonts w:ascii="Times New Roman" w:eastAsia="宋体" w:hAnsi="Times New Roman" w:cs="Times New Roman"/>
          <w:sz w:val="22"/>
          <w:lang w:eastAsia="zh-CN"/>
        </w:rPr>
      </w:pPr>
      <w:r>
        <w:rPr>
          <w:rFonts w:ascii="Times New Roman" w:eastAsia="宋体" w:hAnsi="Times New Roman" w:cs="Times New Roman"/>
          <w:sz w:val="22"/>
          <w:lang w:eastAsia="zh-CN"/>
        </w:rPr>
        <w:t xml:space="preserve">The Liquidators </w:t>
      </w:r>
      <w:r w:rsidRPr="00312084">
        <w:rPr>
          <w:rFonts w:ascii="Times New Roman" w:eastAsia="宋体" w:hAnsi="Times New Roman" w:cs="Times New Roman"/>
          <w:sz w:val="22"/>
          <w:lang w:eastAsia="zh-CN"/>
        </w:rPr>
        <w:t>are currently taking steps to ascertain the latest affairs of the Group</w:t>
      </w:r>
      <w:r>
        <w:rPr>
          <w:rFonts w:ascii="Times New Roman" w:eastAsia="宋体" w:hAnsi="Times New Roman" w:cs="Times New Roman"/>
          <w:sz w:val="22"/>
          <w:lang w:eastAsia="zh-CN"/>
        </w:rPr>
        <w:t xml:space="preserve">. </w:t>
      </w:r>
      <w:r w:rsidR="003C2BC8" w:rsidRPr="003C2BC8">
        <w:rPr>
          <w:rFonts w:ascii="Times New Roman" w:eastAsia="宋体" w:hAnsi="Times New Roman" w:cs="Times New Roman"/>
          <w:sz w:val="22"/>
          <w:lang w:eastAsia="zh-CN"/>
        </w:rPr>
        <w:t>Further</w:t>
      </w:r>
      <w:r>
        <w:rPr>
          <w:rFonts w:ascii="Times New Roman" w:eastAsia="宋体" w:hAnsi="Times New Roman" w:cs="Times New Roman"/>
          <w:sz w:val="22"/>
          <w:lang w:eastAsia="zh-CN"/>
        </w:rPr>
        <w:t xml:space="preserve"> </w:t>
      </w:r>
      <w:r w:rsidR="003C2BC8" w:rsidRPr="003C2BC8">
        <w:rPr>
          <w:rFonts w:ascii="Times New Roman" w:eastAsia="宋体" w:hAnsi="Times New Roman" w:cs="Times New Roman"/>
          <w:sz w:val="22"/>
          <w:lang w:eastAsia="zh-CN"/>
        </w:rPr>
        <w:t>an</w:t>
      </w:r>
      <w:r w:rsidR="003C2BC8">
        <w:rPr>
          <w:rFonts w:ascii="Times New Roman" w:eastAsia="宋体" w:hAnsi="Times New Roman" w:cs="Times New Roman"/>
          <w:sz w:val="22"/>
          <w:lang w:eastAsia="zh-CN"/>
        </w:rPr>
        <w:t xml:space="preserve">nouncement(s) will be made by the </w:t>
      </w:r>
      <w:r w:rsidR="003C2BC8" w:rsidRPr="003C2BC8">
        <w:rPr>
          <w:rFonts w:ascii="Times New Roman" w:eastAsia="宋体" w:hAnsi="Times New Roman" w:cs="Times New Roman"/>
          <w:sz w:val="22"/>
          <w:lang w:eastAsia="zh-CN"/>
        </w:rPr>
        <w:t xml:space="preserve">Company to provide updates </w:t>
      </w:r>
      <w:r w:rsidRPr="002D10D3">
        <w:rPr>
          <w:rFonts w:ascii="Times New Roman" w:eastAsia="宋体" w:hAnsi="Times New Roman" w:cs="Times New Roman"/>
          <w:sz w:val="22"/>
          <w:lang w:eastAsia="zh-CN"/>
        </w:rPr>
        <w:t xml:space="preserve">on </w:t>
      </w:r>
      <w:r w:rsidR="00AA1CD5">
        <w:rPr>
          <w:rFonts w:ascii="Times New Roman" w:eastAsia="宋体" w:hAnsi="Times New Roman" w:cs="Times New Roman"/>
          <w:sz w:val="22"/>
          <w:lang w:eastAsia="zh-CN"/>
        </w:rPr>
        <w:t xml:space="preserve">its </w:t>
      </w:r>
      <w:r w:rsidRPr="002D10D3">
        <w:rPr>
          <w:rFonts w:ascii="Times New Roman" w:eastAsia="宋体" w:hAnsi="Times New Roman" w:cs="Times New Roman"/>
          <w:sz w:val="22"/>
          <w:lang w:eastAsia="zh-CN"/>
        </w:rPr>
        <w:t xml:space="preserve">business operations </w:t>
      </w:r>
      <w:r w:rsidR="003C2BC8" w:rsidRPr="003C2BC8">
        <w:rPr>
          <w:rFonts w:ascii="Times New Roman" w:eastAsia="宋体" w:hAnsi="Times New Roman" w:cs="Times New Roman"/>
          <w:sz w:val="22"/>
          <w:lang w:eastAsia="zh-CN"/>
        </w:rPr>
        <w:t>as and when appropriate.</w:t>
      </w:r>
    </w:p>
    <w:p w14:paraId="1911BAE5" w14:textId="77777777" w:rsidR="002D7B08" w:rsidRPr="00840361" w:rsidRDefault="002D7B08">
      <w:pPr>
        <w:autoSpaceDE w:val="0"/>
        <w:autoSpaceDN w:val="0"/>
        <w:adjustRightInd w:val="0"/>
        <w:jc w:val="both"/>
        <w:rPr>
          <w:rFonts w:ascii="Times New Roman" w:eastAsia="宋体" w:hAnsi="Times New Roman" w:cs="Times New Roman"/>
          <w:sz w:val="22"/>
          <w:lang w:eastAsia="zh-CN"/>
        </w:rPr>
      </w:pPr>
    </w:p>
    <w:p w14:paraId="15AF3960" w14:textId="4B4128C5" w:rsidR="00840361" w:rsidRDefault="002D7B08" w:rsidP="00681195">
      <w:pPr>
        <w:autoSpaceDE w:val="0"/>
        <w:autoSpaceDN w:val="0"/>
        <w:adjustRightInd w:val="0"/>
        <w:jc w:val="both"/>
        <w:rPr>
          <w:rFonts w:ascii="Times New Roman" w:hAnsi="Times New Roman" w:cs="Times New Roman"/>
          <w:b/>
          <w:kern w:val="0"/>
          <w:sz w:val="22"/>
        </w:rPr>
      </w:pPr>
      <w:r w:rsidRPr="002D7B08">
        <w:rPr>
          <w:rFonts w:ascii="Times New Roman" w:hAnsi="Times New Roman" w:cs="Times New Roman"/>
          <w:b/>
          <w:kern w:val="0"/>
          <w:sz w:val="22"/>
        </w:rPr>
        <w:t>UPDATE ON THE RESUMPTION PLAN</w:t>
      </w:r>
    </w:p>
    <w:p w14:paraId="1DC5F618" w14:textId="103C4C85" w:rsidR="007949F4" w:rsidRDefault="007949F4" w:rsidP="00681195">
      <w:pPr>
        <w:autoSpaceDE w:val="0"/>
        <w:autoSpaceDN w:val="0"/>
        <w:adjustRightInd w:val="0"/>
        <w:jc w:val="both"/>
        <w:rPr>
          <w:rFonts w:ascii="Times New Roman" w:hAnsi="Times New Roman" w:cs="Times New Roman"/>
          <w:b/>
          <w:kern w:val="0"/>
          <w:sz w:val="22"/>
        </w:rPr>
      </w:pPr>
    </w:p>
    <w:p w14:paraId="159950FA" w14:textId="4266F33C" w:rsidR="002E49E7" w:rsidRPr="00D411D1" w:rsidRDefault="007949F4" w:rsidP="00D411D1">
      <w:pPr>
        <w:autoSpaceDE w:val="0"/>
        <w:autoSpaceDN w:val="0"/>
        <w:adjustRightInd w:val="0"/>
        <w:jc w:val="both"/>
        <w:rPr>
          <w:rFonts w:ascii="Times New Roman" w:hAnsi="Times New Roman" w:cs="Times New Roman"/>
          <w:sz w:val="22"/>
        </w:rPr>
      </w:pPr>
      <w:r w:rsidRPr="002D10D3">
        <w:rPr>
          <w:rFonts w:ascii="Times New Roman" w:hAnsi="Times New Roman" w:cs="Times New Roman"/>
          <w:sz w:val="22"/>
        </w:rPr>
        <w:t xml:space="preserve">Reference is made to the announcement of the Company dated </w:t>
      </w:r>
      <w:r w:rsidR="002E49E7">
        <w:rPr>
          <w:rFonts w:ascii="Times New Roman" w:hAnsi="Times New Roman" w:cs="Times New Roman"/>
          <w:sz w:val="22"/>
        </w:rPr>
        <w:t xml:space="preserve">18 November 2019 </w:t>
      </w:r>
      <w:r w:rsidR="00D65B2F">
        <w:rPr>
          <w:rFonts w:ascii="Times New Roman" w:hAnsi="Times New Roman" w:cs="Times New Roman"/>
          <w:sz w:val="22"/>
        </w:rPr>
        <w:t>which</w:t>
      </w:r>
      <w:r w:rsidR="002E49E7">
        <w:rPr>
          <w:rFonts w:ascii="Times New Roman" w:hAnsi="Times New Roman" w:cs="Times New Roman"/>
          <w:sz w:val="22"/>
        </w:rPr>
        <w:t xml:space="preserve">, </w:t>
      </w:r>
      <w:r w:rsidR="002E49E7" w:rsidRPr="00D411D1">
        <w:rPr>
          <w:rFonts w:ascii="Times New Roman" w:hAnsi="Times New Roman" w:cs="Times New Roman"/>
          <w:sz w:val="22"/>
        </w:rPr>
        <w:t xml:space="preserve">among other things, </w:t>
      </w:r>
      <w:r w:rsidR="00681B10">
        <w:rPr>
          <w:rFonts w:ascii="Times New Roman" w:hAnsi="Times New Roman" w:cs="Times New Roman"/>
          <w:sz w:val="22"/>
        </w:rPr>
        <w:t>disclosed</w:t>
      </w:r>
      <w:r w:rsidR="002E49E7" w:rsidRPr="00D411D1">
        <w:rPr>
          <w:rFonts w:ascii="Times New Roman" w:hAnsi="Times New Roman" w:cs="Times New Roman"/>
          <w:sz w:val="22"/>
        </w:rPr>
        <w:t xml:space="preserve"> that the </w:t>
      </w:r>
      <w:r w:rsidR="00D411D1" w:rsidRPr="00D411D1">
        <w:rPr>
          <w:rFonts w:ascii="Times New Roman" w:hAnsi="Times New Roman" w:cs="Times New Roman"/>
          <w:sz w:val="22"/>
        </w:rPr>
        <w:t xml:space="preserve">Investor, the Company and the Liquidators </w:t>
      </w:r>
      <w:r w:rsidR="00D411D1">
        <w:rPr>
          <w:rFonts w:ascii="Times New Roman" w:hAnsi="Times New Roman" w:cs="Times New Roman"/>
          <w:sz w:val="22"/>
        </w:rPr>
        <w:t xml:space="preserve">(together the </w:t>
      </w:r>
      <w:r w:rsidR="001356DA" w:rsidRPr="00605B7A">
        <w:rPr>
          <w:rFonts w:ascii="Times New Roman" w:hAnsi="Times New Roman" w:cs="Times New Roman"/>
          <w:sz w:val="22"/>
        </w:rPr>
        <w:t>“</w:t>
      </w:r>
      <w:r w:rsidR="00D411D1" w:rsidRPr="00D411D1">
        <w:rPr>
          <w:rFonts w:ascii="Times New Roman" w:hAnsi="Times New Roman" w:cs="Times New Roman"/>
          <w:b/>
          <w:sz w:val="22"/>
        </w:rPr>
        <w:t>Parties</w:t>
      </w:r>
      <w:r w:rsidR="001356DA" w:rsidRPr="00605B7A">
        <w:rPr>
          <w:rFonts w:ascii="Times New Roman" w:hAnsi="Times New Roman" w:cs="Times New Roman"/>
          <w:sz w:val="22"/>
        </w:rPr>
        <w:t>”</w:t>
      </w:r>
      <w:r w:rsidR="00D411D1">
        <w:rPr>
          <w:rFonts w:ascii="Times New Roman" w:hAnsi="Times New Roman" w:cs="Times New Roman"/>
          <w:sz w:val="22"/>
        </w:rPr>
        <w:t xml:space="preserve">) </w:t>
      </w:r>
      <w:r w:rsidR="00681B10" w:rsidRPr="00D411D1">
        <w:rPr>
          <w:rFonts w:ascii="Times New Roman" w:hAnsi="Times New Roman" w:cs="Times New Roman"/>
          <w:sz w:val="22"/>
        </w:rPr>
        <w:t>ha</w:t>
      </w:r>
      <w:r w:rsidR="00681B10">
        <w:rPr>
          <w:rFonts w:ascii="Times New Roman" w:hAnsi="Times New Roman" w:cs="Times New Roman"/>
          <w:sz w:val="22"/>
        </w:rPr>
        <w:t>d</w:t>
      </w:r>
      <w:r w:rsidR="00681B10" w:rsidRPr="00D411D1">
        <w:rPr>
          <w:rFonts w:ascii="Times New Roman" w:hAnsi="Times New Roman" w:cs="Times New Roman"/>
          <w:sz w:val="22"/>
        </w:rPr>
        <w:t xml:space="preserve"> </w:t>
      </w:r>
      <w:r w:rsidR="00D411D1" w:rsidRPr="00D411D1">
        <w:rPr>
          <w:rFonts w:ascii="Times New Roman" w:hAnsi="Times New Roman" w:cs="Times New Roman"/>
          <w:sz w:val="22"/>
        </w:rPr>
        <w:t xml:space="preserve">been in negotiations on the definitive terms and conditions to enter into a legally binding definitive agreement (the </w:t>
      </w:r>
      <w:r w:rsidR="001356DA" w:rsidRPr="00605B7A">
        <w:rPr>
          <w:rFonts w:ascii="Times New Roman" w:hAnsi="Times New Roman" w:cs="Times New Roman"/>
          <w:sz w:val="22"/>
        </w:rPr>
        <w:t>“</w:t>
      </w:r>
      <w:r w:rsidR="00D411D1" w:rsidRPr="00D411D1">
        <w:rPr>
          <w:rFonts w:ascii="Times New Roman" w:hAnsi="Times New Roman" w:cs="Times New Roman"/>
          <w:b/>
          <w:sz w:val="22"/>
        </w:rPr>
        <w:t>Definitive Agreement</w:t>
      </w:r>
      <w:r w:rsidR="001356DA" w:rsidRPr="00605B7A">
        <w:rPr>
          <w:rFonts w:ascii="Times New Roman" w:hAnsi="Times New Roman" w:cs="Times New Roman"/>
          <w:sz w:val="22"/>
        </w:rPr>
        <w:t>”</w:t>
      </w:r>
      <w:r w:rsidR="00D411D1" w:rsidRPr="00D411D1">
        <w:rPr>
          <w:rFonts w:ascii="Times New Roman" w:hAnsi="Times New Roman" w:cs="Times New Roman"/>
          <w:sz w:val="22"/>
        </w:rPr>
        <w:t>) in respect of the Proposed Restructuring that is subject to the approval of the relevant court(s) and/ or relevant authorities (if necessary).</w:t>
      </w:r>
    </w:p>
    <w:p w14:paraId="74504954" w14:textId="3E33588F" w:rsidR="007949F4" w:rsidRPr="007949F4" w:rsidRDefault="007949F4" w:rsidP="00681195">
      <w:pPr>
        <w:autoSpaceDE w:val="0"/>
        <w:autoSpaceDN w:val="0"/>
        <w:adjustRightInd w:val="0"/>
        <w:jc w:val="both"/>
        <w:rPr>
          <w:rFonts w:ascii="Times New Roman" w:hAnsi="Times New Roman" w:cs="Times New Roman"/>
          <w:sz w:val="22"/>
        </w:rPr>
      </w:pPr>
    </w:p>
    <w:p w14:paraId="0B8BE228" w14:textId="7156A9EA" w:rsidR="002D7B08" w:rsidRPr="004067C4" w:rsidRDefault="00D411D1" w:rsidP="00297A2E">
      <w:pPr>
        <w:autoSpaceDE w:val="0"/>
        <w:autoSpaceDN w:val="0"/>
        <w:adjustRightInd w:val="0"/>
        <w:jc w:val="both"/>
        <w:rPr>
          <w:rFonts w:ascii="Times New Roman" w:hAnsi="Times New Roman" w:cs="Times New Roman"/>
          <w:sz w:val="22"/>
        </w:rPr>
      </w:pPr>
      <w:r w:rsidRPr="00D411D1">
        <w:rPr>
          <w:rFonts w:ascii="Times New Roman" w:hAnsi="Times New Roman" w:cs="Times New Roman"/>
          <w:sz w:val="22"/>
        </w:rPr>
        <w:t xml:space="preserve">The negotiations between the Parties with respect to the Definitive Agreement is continuing and further announcements will be made by the Company </w:t>
      </w:r>
      <w:r w:rsidR="00302934">
        <w:rPr>
          <w:rFonts w:ascii="Times New Roman" w:hAnsi="Times New Roman" w:cs="Times New Roman"/>
          <w:sz w:val="22"/>
        </w:rPr>
        <w:t xml:space="preserve">in respect of the resumption plan </w:t>
      </w:r>
      <w:r w:rsidRPr="00D411D1">
        <w:rPr>
          <w:rFonts w:ascii="Times New Roman" w:hAnsi="Times New Roman" w:cs="Times New Roman"/>
          <w:sz w:val="22"/>
        </w:rPr>
        <w:t>as and when appropriate.</w:t>
      </w:r>
    </w:p>
    <w:p w14:paraId="03DB27B1" w14:textId="77777777" w:rsidR="00F23A1F" w:rsidRDefault="00F23A1F" w:rsidP="00297A2E">
      <w:pPr>
        <w:autoSpaceDE w:val="0"/>
        <w:autoSpaceDN w:val="0"/>
        <w:adjustRightInd w:val="0"/>
        <w:jc w:val="both"/>
        <w:rPr>
          <w:rFonts w:ascii="Times New Roman" w:hAnsi="Times New Roman" w:cs="Times New Roman"/>
          <w:kern w:val="0"/>
          <w:sz w:val="22"/>
        </w:rPr>
      </w:pPr>
    </w:p>
    <w:p w14:paraId="5636CE05" w14:textId="6C2A2324" w:rsidR="00F23A1F" w:rsidRDefault="00D411D1" w:rsidP="00F23A1F">
      <w:pPr>
        <w:autoSpaceDE w:val="0"/>
        <w:autoSpaceDN w:val="0"/>
        <w:adjustRightInd w:val="0"/>
        <w:jc w:val="both"/>
        <w:rPr>
          <w:rFonts w:ascii="Times New Roman" w:hAnsi="Times New Roman" w:cs="Times New Roman"/>
          <w:b/>
          <w:kern w:val="0"/>
          <w:sz w:val="22"/>
        </w:rPr>
      </w:pPr>
      <w:r w:rsidRPr="00D411D1">
        <w:rPr>
          <w:rFonts w:ascii="Times New Roman" w:hAnsi="Times New Roman" w:cs="Times New Roman"/>
          <w:b/>
          <w:kern w:val="0"/>
          <w:sz w:val="22"/>
        </w:rPr>
        <w:t xml:space="preserve">FURTHER DELAY IN PUBLICATION OF </w:t>
      </w:r>
      <w:r w:rsidR="000166DD">
        <w:rPr>
          <w:rFonts w:ascii="Times New Roman" w:hAnsi="Times New Roman" w:cs="Times New Roman"/>
          <w:b/>
          <w:kern w:val="0"/>
          <w:sz w:val="22"/>
        </w:rPr>
        <w:t xml:space="preserve">2018 </w:t>
      </w:r>
      <w:r w:rsidRPr="00D411D1">
        <w:rPr>
          <w:rFonts w:ascii="Times New Roman" w:hAnsi="Times New Roman" w:cs="Times New Roman"/>
          <w:b/>
          <w:kern w:val="0"/>
          <w:sz w:val="22"/>
        </w:rPr>
        <w:t>ANNUAL RESULTS FOR THE YEAR ENDED 31 DECEMBER 2018 AND</w:t>
      </w:r>
      <w:r w:rsidR="000166DD" w:rsidRPr="000166DD">
        <w:rPr>
          <w:rFonts w:ascii="Times New Roman" w:hAnsi="Times New Roman" w:cs="Times New Roman"/>
          <w:b/>
          <w:kern w:val="0"/>
          <w:sz w:val="22"/>
        </w:rPr>
        <w:t xml:space="preserve"> </w:t>
      </w:r>
      <w:r w:rsidR="000166DD" w:rsidRPr="00D411D1">
        <w:rPr>
          <w:rFonts w:ascii="Times New Roman" w:hAnsi="Times New Roman" w:cs="Times New Roman"/>
          <w:b/>
          <w:kern w:val="0"/>
          <w:sz w:val="22"/>
        </w:rPr>
        <w:t>INTERIM RESULTS FOR THE SIX MONTHS ENDED 30 JUNE 2019</w:t>
      </w:r>
      <w:r w:rsidR="000166DD">
        <w:rPr>
          <w:rFonts w:ascii="Times New Roman" w:hAnsi="Times New Roman" w:cs="Times New Roman"/>
          <w:b/>
          <w:kern w:val="0"/>
          <w:sz w:val="22"/>
        </w:rPr>
        <w:t xml:space="preserve"> AND </w:t>
      </w:r>
      <w:r w:rsidRPr="00D411D1">
        <w:rPr>
          <w:rFonts w:ascii="Times New Roman" w:hAnsi="Times New Roman" w:cs="Times New Roman"/>
          <w:b/>
          <w:kern w:val="0"/>
          <w:sz w:val="22"/>
        </w:rPr>
        <w:t xml:space="preserve">POSSIBLE DELAY IN PUBLICATION OF </w:t>
      </w:r>
      <w:r w:rsidR="000166DD" w:rsidRPr="00D411D1">
        <w:rPr>
          <w:rFonts w:ascii="Times New Roman" w:hAnsi="Times New Roman" w:cs="Times New Roman"/>
          <w:b/>
          <w:kern w:val="0"/>
          <w:sz w:val="22"/>
        </w:rPr>
        <w:t>ANNUAL RESULTS AND DESPATCH OF THE ANNUAL REPORT FOR</w:t>
      </w:r>
      <w:r w:rsidR="000166DD">
        <w:rPr>
          <w:rFonts w:ascii="Times New Roman" w:hAnsi="Times New Roman" w:cs="Times New Roman"/>
          <w:b/>
          <w:kern w:val="0"/>
          <w:sz w:val="22"/>
        </w:rPr>
        <w:t xml:space="preserve"> THE YEAR ENDED 31 DECEMBER 2019</w:t>
      </w:r>
    </w:p>
    <w:p w14:paraId="13EEF9ED" w14:textId="77777777" w:rsidR="000166DD" w:rsidRDefault="000166DD" w:rsidP="00F23A1F">
      <w:pPr>
        <w:autoSpaceDE w:val="0"/>
        <w:autoSpaceDN w:val="0"/>
        <w:adjustRightInd w:val="0"/>
        <w:jc w:val="both"/>
        <w:rPr>
          <w:rFonts w:ascii="Times New Roman" w:hAnsi="Times New Roman" w:cs="Times New Roman"/>
          <w:b/>
          <w:kern w:val="0"/>
          <w:sz w:val="22"/>
        </w:rPr>
      </w:pPr>
    </w:p>
    <w:p w14:paraId="08E6B58A" w14:textId="028E2502" w:rsidR="000166DD" w:rsidRPr="007949F4" w:rsidRDefault="000166DD" w:rsidP="00605B7A">
      <w:pPr>
        <w:autoSpaceDE w:val="0"/>
        <w:autoSpaceDN w:val="0"/>
        <w:adjustRightInd w:val="0"/>
        <w:jc w:val="both"/>
        <w:rPr>
          <w:rFonts w:ascii="Times New Roman" w:hAnsi="Times New Roman" w:cs="Times New Roman"/>
          <w:sz w:val="22"/>
        </w:rPr>
      </w:pPr>
      <w:r w:rsidRPr="000166DD">
        <w:rPr>
          <w:rFonts w:ascii="Times New Roman" w:hAnsi="Times New Roman" w:cs="Times New Roman"/>
          <w:sz w:val="22"/>
        </w:rPr>
        <w:t>Refere</w:t>
      </w:r>
      <w:r>
        <w:rPr>
          <w:rFonts w:ascii="Times New Roman" w:hAnsi="Times New Roman" w:cs="Times New Roman"/>
          <w:sz w:val="22"/>
        </w:rPr>
        <w:t>nce is made to the announcement</w:t>
      </w:r>
      <w:r w:rsidRPr="000166DD">
        <w:rPr>
          <w:rFonts w:ascii="Times New Roman" w:hAnsi="Times New Roman" w:cs="Times New Roman"/>
          <w:sz w:val="22"/>
        </w:rPr>
        <w:t xml:space="preserve"> of the Company dated 2</w:t>
      </w:r>
      <w:r>
        <w:rPr>
          <w:rFonts w:ascii="Times New Roman" w:hAnsi="Times New Roman" w:cs="Times New Roman"/>
          <w:sz w:val="22"/>
        </w:rPr>
        <w:t>3</w:t>
      </w:r>
      <w:r w:rsidRPr="000166DD">
        <w:rPr>
          <w:rFonts w:ascii="Times New Roman" w:hAnsi="Times New Roman" w:cs="Times New Roman"/>
          <w:sz w:val="22"/>
        </w:rPr>
        <w:t xml:space="preserve"> </w:t>
      </w:r>
      <w:r>
        <w:rPr>
          <w:rFonts w:ascii="Times New Roman" w:hAnsi="Times New Roman" w:cs="Times New Roman"/>
          <w:sz w:val="22"/>
        </w:rPr>
        <w:t>August</w:t>
      </w:r>
      <w:r w:rsidRPr="000166DD">
        <w:rPr>
          <w:rFonts w:ascii="Times New Roman" w:hAnsi="Times New Roman" w:cs="Times New Roman"/>
          <w:sz w:val="22"/>
        </w:rPr>
        <w:t xml:space="preserve"> 2019</w:t>
      </w:r>
      <w:r>
        <w:rPr>
          <w:rFonts w:ascii="Times New Roman" w:hAnsi="Times New Roman" w:cs="Times New Roman"/>
          <w:sz w:val="22"/>
        </w:rPr>
        <w:t xml:space="preserve"> </w:t>
      </w:r>
      <w:r w:rsidRPr="000166DD">
        <w:rPr>
          <w:rFonts w:ascii="Times New Roman" w:hAnsi="Times New Roman" w:cs="Times New Roman"/>
          <w:sz w:val="22"/>
        </w:rPr>
        <w:t xml:space="preserve">in relation to, among </w:t>
      </w:r>
      <w:r w:rsidR="00681B10" w:rsidRPr="000166DD">
        <w:rPr>
          <w:rFonts w:ascii="Times New Roman" w:hAnsi="Times New Roman" w:cs="Times New Roman"/>
          <w:sz w:val="22"/>
        </w:rPr>
        <w:t>other</w:t>
      </w:r>
      <w:r w:rsidR="00681B10">
        <w:rPr>
          <w:rFonts w:ascii="Times New Roman" w:hAnsi="Times New Roman" w:cs="Times New Roman"/>
          <w:sz w:val="22"/>
        </w:rPr>
        <w:t xml:space="preserve"> things</w:t>
      </w:r>
      <w:r w:rsidRPr="000166DD">
        <w:rPr>
          <w:rFonts w:ascii="Times New Roman" w:hAnsi="Times New Roman" w:cs="Times New Roman"/>
          <w:sz w:val="22"/>
        </w:rPr>
        <w:t>, the delay in publication</w:t>
      </w:r>
      <w:r>
        <w:rPr>
          <w:rFonts w:ascii="Times New Roman" w:hAnsi="Times New Roman" w:cs="Times New Roman"/>
          <w:sz w:val="22"/>
        </w:rPr>
        <w:t>s</w:t>
      </w:r>
      <w:r w:rsidRPr="000166DD">
        <w:rPr>
          <w:rFonts w:ascii="Times New Roman" w:hAnsi="Times New Roman" w:cs="Times New Roman"/>
          <w:sz w:val="22"/>
        </w:rPr>
        <w:t xml:space="preserve"> of 2018 Annual Results, 2018 Annual Report, 2019 Interim Results and 2019 Interim Report</w:t>
      </w:r>
      <w:r>
        <w:rPr>
          <w:rFonts w:ascii="Times New Roman" w:hAnsi="Times New Roman" w:cs="Times New Roman"/>
          <w:sz w:val="22"/>
        </w:rPr>
        <w:t xml:space="preserve"> and the announcements of the Company dated 21 October 2019 and 13 January 2020 in relation to </w:t>
      </w:r>
      <w:r w:rsidR="0041069A">
        <w:rPr>
          <w:rFonts w:ascii="Times New Roman" w:hAnsi="Times New Roman" w:cs="Times New Roman"/>
          <w:sz w:val="22"/>
        </w:rPr>
        <w:t xml:space="preserve">the </w:t>
      </w:r>
      <w:r w:rsidR="00605B7A">
        <w:rPr>
          <w:rFonts w:ascii="Times New Roman" w:hAnsi="Times New Roman" w:cs="Times New Roman"/>
          <w:sz w:val="22"/>
        </w:rPr>
        <w:t xml:space="preserve">appointment of </w:t>
      </w:r>
      <w:r w:rsidR="00605B7A" w:rsidRPr="00605B7A">
        <w:rPr>
          <w:rFonts w:ascii="Times New Roman" w:hAnsi="Times New Roman" w:cs="Times New Roman"/>
          <w:sz w:val="22"/>
        </w:rPr>
        <w:t xml:space="preserve">Crowe (HK) CPA Limited as the </w:t>
      </w:r>
      <w:r>
        <w:rPr>
          <w:rFonts w:ascii="Times New Roman" w:hAnsi="Times New Roman" w:cs="Times New Roman"/>
          <w:sz w:val="22"/>
        </w:rPr>
        <w:t>auditor of the Company</w:t>
      </w:r>
      <w:r w:rsidR="00605B7A">
        <w:rPr>
          <w:rFonts w:ascii="Times New Roman" w:hAnsi="Times New Roman" w:cs="Times New Roman"/>
          <w:sz w:val="22"/>
        </w:rPr>
        <w:t xml:space="preserve"> to fill the </w:t>
      </w:r>
      <w:r w:rsidR="00605B7A" w:rsidRPr="00605B7A">
        <w:rPr>
          <w:rFonts w:ascii="Times New Roman" w:hAnsi="Times New Roman" w:cs="Times New Roman"/>
          <w:sz w:val="22"/>
        </w:rPr>
        <w:t>casual vacancy following the resignation of PKF</w:t>
      </w:r>
      <w:r>
        <w:rPr>
          <w:rFonts w:ascii="Times New Roman" w:hAnsi="Times New Roman" w:cs="Times New Roman"/>
          <w:sz w:val="22"/>
        </w:rPr>
        <w:t xml:space="preserve">. </w:t>
      </w:r>
    </w:p>
    <w:p w14:paraId="0C339A1B" w14:textId="2B5C51E8" w:rsidR="00130902" w:rsidRDefault="00130902">
      <w:pPr>
        <w:autoSpaceDE w:val="0"/>
        <w:autoSpaceDN w:val="0"/>
        <w:adjustRightInd w:val="0"/>
        <w:jc w:val="both"/>
        <w:rPr>
          <w:rFonts w:ascii="Times New Roman" w:hAnsi="Times New Roman" w:cs="Times New Roman"/>
          <w:kern w:val="0"/>
          <w:sz w:val="22"/>
        </w:rPr>
      </w:pPr>
    </w:p>
    <w:p w14:paraId="359CA46D" w14:textId="3756341B" w:rsidR="00605B7A" w:rsidRDefault="00605B7A" w:rsidP="004067C4">
      <w:pPr>
        <w:autoSpaceDE w:val="0"/>
        <w:autoSpaceDN w:val="0"/>
        <w:adjustRightInd w:val="0"/>
        <w:jc w:val="both"/>
        <w:rPr>
          <w:rFonts w:ascii="Times New Roman" w:hAnsi="Times New Roman" w:cs="Times New Roman"/>
          <w:sz w:val="22"/>
        </w:rPr>
      </w:pPr>
      <w:r w:rsidRPr="00605B7A">
        <w:rPr>
          <w:rFonts w:ascii="Times New Roman" w:hAnsi="Times New Roman" w:cs="Times New Roman"/>
          <w:sz w:val="22"/>
        </w:rPr>
        <w:t xml:space="preserve">As a </w:t>
      </w:r>
      <w:r w:rsidR="000158A8">
        <w:rPr>
          <w:rFonts w:ascii="Times New Roman" w:hAnsi="Times New Roman" w:cs="Times New Roman"/>
          <w:sz w:val="22"/>
        </w:rPr>
        <w:t xml:space="preserve">result of </w:t>
      </w:r>
      <w:r w:rsidR="000158A8" w:rsidRPr="000158A8">
        <w:rPr>
          <w:rFonts w:ascii="Times New Roman" w:hAnsi="Times New Roman" w:cs="Times New Roman"/>
          <w:sz w:val="22"/>
        </w:rPr>
        <w:t>the outbreak of</w:t>
      </w:r>
      <w:r w:rsidR="0041069A">
        <w:rPr>
          <w:rFonts w:ascii="Times New Roman" w:hAnsi="Times New Roman" w:cs="Times New Roman"/>
          <w:sz w:val="22"/>
        </w:rPr>
        <w:t xml:space="preserve"> novel coronavirus pneumonia </w:t>
      </w:r>
      <w:r w:rsidR="000158A8" w:rsidRPr="000158A8">
        <w:rPr>
          <w:rFonts w:ascii="Times New Roman" w:hAnsi="Times New Roman" w:cs="Times New Roman"/>
          <w:sz w:val="22"/>
        </w:rPr>
        <w:t>in the PRC and in Hong Kong</w:t>
      </w:r>
      <w:r w:rsidRPr="00605B7A">
        <w:rPr>
          <w:rFonts w:ascii="Times New Roman" w:hAnsi="Times New Roman" w:cs="Times New Roman"/>
          <w:sz w:val="22"/>
        </w:rPr>
        <w:t>,</w:t>
      </w:r>
      <w:r w:rsidR="000166DD" w:rsidRPr="00605B7A">
        <w:rPr>
          <w:rFonts w:ascii="Times New Roman" w:hAnsi="Times New Roman" w:cs="Times New Roman"/>
          <w:sz w:val="22"/>
        </w:rPr>
        <w:t xml:space="preserve"> </w:t>
      </w:r>
      <w:r w:rsidR="00681B10">
        <w:rPr>
          <w:rFonts w:ascii="Times New Roman" w:hAnsi="Times New Roman" w:cs="Times New Roman"/>
          <w:kern w:val="0"/>
          <w:sz w:val="22"/>
        </w:rPr>
        <w:t xml:space="preserve">the </w:t>
      </w:r>
      <w:r w:rsidR="00681B10">
        <w:rPr>
          <w:rFonts w:ascii="Times New Roman" w:hAnsi="Times New Roman" w:cs="Times New Roman"/>
          <w:kern w:val="0"/>
          <w:sz w:val="22"/>
        </w:rPr>
        <w:lastRenderedPageBreak/>
        <w:t>progress of the Company’s audit has been affected, mainly attributable to the travel restrictions and quarantine measures imposed by the relevant authorities</w:t>
      </w:r>
      <w:r w:rsidR="00C134EA" w:rsidRPr="007C1CD6">
        <w:rPr>
          <w:rFonts w:ascii="Times New Roman" w:hAnsi="Times New Roman" w:cs="Times New Roman"/>
          <w:kern w:val="0"/>
          <w:sz w:val="22"/>
        </w:rPr>
        <w:t>.</w:t>
      </w:r>
      <w:r w:rsidR="00C134EA">
        <w:rPr>
          <w:rFonts w:ascii="Times New Roman" w:hAnsi="Times New Roman" w:cs="Times New Roman"/>
          <w:kern w:val="0"/>
          <w:sz w:val="22"/>
        </w:rPr>
        <w:t xml:space="preserve"> </w:t>
      </w:r>
      <w:r w:rsidR="004067C4" w:rsidRPr="007C1CD6">
        <w:rPr>
          <w:rFonts w:ascii="Times New Roman" w:hAnsi="Times New Roman" w:cs="Times New Roman"/>
          <w:kern w:val="0"/>
          <w:sz w:val="22"/>
        </w:rPr>
        <w:t xml:space="preserve">The Company expects extra time to complete the audit work </w:t>
      </w:r>
      <w:r w:rsidR="004067C4">
        <w:rPr>
          <w:rFonts w:ascii="Times New Roman" w:hAnsi="Times New Roman" w:cs="Times New Roman"/>
          <w:kern w:val="0"/>
          <w:sz w:val="22"/>
        </w:rPr>
        <w:t>and hence</w:t>
      </w:r>
      <w:r w:rsidRPr="00605B7A">
        <w:rPr>
          <w:rFonts w:ascii="Times New Roman" w:hAnsi="Times New Roman" w:cs="Times New Roman"/>
          <w:sz w:val="22"/>
        </w:rPr>
        <w:t xml:space="preserve"> there might be possible </w:t>
      </w:r>
      <w:bookmarkStart w:id="0" w:name="_GoBack"/>
      <w:bookmarkEnd w:id="0"/>
      <w:r w:rsidRPr="00605B7A">
        <w:rPr>
          <w:rFonts w:ascii="Times New Roman" w:hAnsi="Times New Roman" w:cs="Times New Roman"/>
          <w:sz w:val="22"/>
        </w:rPr>
        <w:t>delays in the publicat</w:t>
      </w:r>
      <w:r>
        <w:rPr>
          <w:rFonts w:ascii="Times New Roman" w:hAnsi="Times New Roman" w:cs="Times New Roman"/>
          <w:sz w:val="22"/>
        </w:rPr>
        <w:t>ion of the announcement of the annual</w:t>
      </w:r>
      <w:r w:rsidRPr="00605B7A">
        <w:rPr>
          <w:rFonts w:ascii="Times New Roman" w:hAnsi="Times New Roman" w:cs="Times New Roman"/>
          <w:sz w:val="22"/>
        </w:rPr>
        <w:t xml:space="preserve"> results of the Group for the </w:t>
      </w:r>
      <w:r w:rsidR="001356DA">
        <w:rPr>
          <w:rFonts w:ascii="Times New Roman" w:hAnsi="Times New Roman" w:cs="Times New Roman"/>
          <w:sz w:val="22"/>
        </w:rPr>
        <w:t>year</w:t>
      </w:r>
      <w:r w:rsidRPr="00605B7A">
        <w:rPr>
          <w:rFonts w:ascii="Times New Roman" w:hAnsi="Times New Roman" w:cs="Times New Roman"/>
          <w:sz w:val="22"/>
        </w:rPr>
        <w:t xml:space="preserve"> ended 3</w:t>
      </w:r>
      <w:r w:rsidR="001356DA">
        <w:rPr>
          <w:rFonts w:ascii="Times New Roman" w:hAnsi="Times New Roman" w:cs="Times New Roman"/>
          <w:sz w:val="22"/>
        </w:rPr>
        <w:t>1</w:t>
      </w:r>
      <w:r w:rsidRPr="00605B7A">
        <w:rPr>
          <w:rFonts w:ascii="Times New Roman" w:hAnsi="Times New Roman" w:cs="Times New Roman"/>
          <w:sz w:val="22"/>
        </w:rPr>
        <w:t xml:space="preserve"> </w:t>
      </w:r>
      <w:r w:rsidR="001356DA">
        <w:rPr>
          <w:rFonts w:ascii="Times New Roman" w:hAnsi="Times New Roman" w:cs="Times New Roman"/>
          <w:sz w:val="22"/>
        </w:rPr>
        <w:t>December</w:t>
      </w:r>
      <w:r w:rsidRPr="00605B7A">
        <w:rPr>
          <w:rFonts w:ascii="Times New Roman" w:hAnsi="Times New Roman" w:cs="Times New Roman"/>
          <w:sz w:val="22"/>
        </w:rPr>
        <w:t xml:space="preserve"> 2019 (the “</w:t>
      </w:r>
      <w:r w:rsidRPr="001356DA">
        <w:rPr>
          <w:rFonts w:ascii="Times New Roman" w:hAnsi="Times New Roman" w:cs="Times New Roman"/>
          <w:b/>
          <w:sz w:val="22"/>
        </w:rPr>
        <w:t xml:space="preserve">2019 </w:t>
      </w:r>
      <w:r w:rsidR="001356DA" w:rsidRPr="001356DA">
        <w:rPr>
          <w:rFonts w:ascii="Times New Roman" w:hAnsi="Times New Roman" w:cs="Times New Roman"/>
          <w:b/>
          <w:sz w:val="22"/>
        </w:rPr>
        <w:t>Annual</w:t>
      </w:r>
      <w:r w:rsidRPr="001356DA">
        <w:rPr>
          <w:rFonts w:ascii="Times New Roman" w:hAnsi="Times New Roman" w:cs="Times New Roman"/>
          <w:b/>
          <w:sz w:val="22"/>
        </w:rPr>
        <w:t xml:space="preserve"> Results</w:t>
      </w:r>
      <w:r w:rsidR="0041069A">
        <w:rPr>
          <w:rFonts w:ascii="Times New Roman" w:hAnsi="Times New Roman" w:cs="Times New Roman"/>
          <w:sz w:val="22"/>
        </w:rPr>
        <w:t xml:space="preserve">”) and the </w:t>
      </w:r>
      <w:proofErr w:type="spellStart"/>
      <w:r w:rsidR="0041069A">
        <w:rPr>
          <w:rFonts w:ascii="Times New Roman" w:hAnsi="Times New Roman" w:cs="Times New Roman"/>
          <w:sz w:val="22"/>
        </w:rPr>
        <w:t>despatch</w:t>
      </w:r>
      <w:proofErr w:type="spellEnd"/>
      <w:r w:rsidR="0041069A">
        <w:rPr>
          <w:rFonts w:ascii="Times New Roman" w:hAnsi="Times New Roman" w:cs="Times New Roman"/>
          <w:sz w:val="22"/>
        </w:rPr>
        <w:t xml:space="preserve"> of the annual</w:t>
      </w:r>
      <w:r w:rsidRPr="00605B7A">
        <w:rPr>
          <w:rFonts w:ascii="Times New Roman" w:hAnsi="Times New Roman" w:cs="Times New Roman"/>
          <w:sz w:val="22"/>
        </w:rPr>
        <w:t xml:space="preserve"> report for </w:t>
      </w:r>
      <w:r w:rsidR="001356DA" w:rsidRPr="001356DA">
        <w:rPr>
          <w:rFonts w:ascii="Times New Roman" w:hAnsi="Times New Roman" w:cs="Times New Roman"/>
          <w:sz w:val="22"/>
        </w:rPr>
        <w:t xml:space="preserve">the year ended 31 December 2019 </w:t>
      </w:r>
      <w:r w:rsidRPr="00605B7A">
        <w:rPr>
          <w:rFonts w:ascii="Times New Roman" w:hAnsi="Times New Roman" w:cs="Times New Roman"/>
          <w:sz w:val="22"/>
        </w:rPr>
        <w:t>(the “</w:t>
      </w:r>
      <w:r w:rsidRPr="001356DA">
        <w:rPr>
          <w:rFonts w:ascii="Times New Roman" w:hAnsi="Times New Roman" w:cs="Times New Roman"/>
          <w:b/>
          <w:sz w:val="22"/>
        </w:rPr>
        <w:t xml:space="preserve">2019 </w:t>
      </w:r>
      <w:r w:rsidR="001356DA" w:rsidRPr="001356DA">
        <w:rPr>
          <w:rFonts w:ascii="Times New Roman" w:hAnsi="Times New Roman" w:cs="Times New Roman"/>
          <w:b/>
          <w:sz w:val="22"/>
        </w:rPr>
        <w:t>Annual</w:t>
      </w:r>
      <w:r w:rsidRPr="001356DA">
        <w:rPr>
          <w:rFonts w:ascii="Times New Roman" w:hAnsi="Times New Roman" w:cs="Times New Roman"/>
          <w:b/>
          <w:sz w:val="22"/>
        </w:rPr>
        <w:t xml:space="preserve"> Report</w:t>
      </w:r>
      <w:r w:rsidRPr="00605B7A">
        <w:rPr>
          <w:rFonts w:ascii="Times New Roman" w:hAnsi="Times New Roman" w:cs="Times New Roman"/>
          <w:sz w:val="22"/>
        </w:rPr>
        <w:t>”) will be delayed</w:t>
      </w:r>
      <w:r w:rsidR="004067C4">
        <w:rPr>
          <w:rFonts w:ascii="Times New Roman" w:hAnsi="Times New Roman" w:cs="Times New Roman"/>
          <w:sz w:val="22"/>
        </w:rPr>
        <w:t>.</w:t>
      </w:r>
      <w:r w:rsidR="004067C4" w:rsidRPr="004067C4">
        <w:rPr>
          <w:rFonts w:ascii="Times New Roman" w:hAnsi="Times New Roman" w:cs="Times New Roman"/>
          <w:sz w:val="22"/>
        </w:rPr>
        <w:t xml:space="preserve"> S</w:t>
      </w:r>
      <w:r w:rsidR="004067C4" w:rsidRPr="004067C4">
        <w:rPr>
          <w:rFonts w:ascii="Times New Roman" w:hAnsi="Times New Roman" w:cs="Times New Roman"/>
          <w:kern w:val="0"/>
          <w:sz w:val="22"/>
        </w:rPr>
        <w:t>uch delay constitutes a breach of Rules 13.49(1) and Rule 13.46(2</w:t>
      </w:r>
      <w:proofErr w:type="gramStart"/>
      <w:r w:rsidR="004067C4" w:rsidRPr="004067C4">
        <w:rPr>
          <w:rFonts w:ascii="Times New Roman" w:hAnsi="Times New Roman" w:cs="Times New Roman"/>
          <w:kern w:val="0"/>
          <w:sz w:val="22"/>
        </w:rPr>
        <w:t>)(</w:t>
      </w:r>
      <w:proofErr w:type="gramEnd"/>
      <w:r w:rsidR="004067C4" w:rsidRPr="004067C4">
        <w:rPr>
          <w:rFonts w:ascii="Times New Roman" w:hAnsi="Times New Roman" w:cs="Times New Roman"/>
          <w:kern w:val="0"/>
          <w:sz w:val="22"/>
        </w:rPr>
        <w:t>a) of the Listing Rules, which require the Company to publish the 2019 Annual Result</w:t>
      </w:r>
      <w:r w:rsidR="00A96277">
        <w:rPr>
          <w:rFonts w:ascii="Times New Roman" w:hAnsi="Times New Roman" w:cs="Times New Roman"/>
          <w:kern w:val="0"/>
          <w:sz w:val="22"/>
        </w:rPr>
        <w:t>s</w:t>
      </w:r>
      <w:r w:rsidR="004067C4" w:rsidRPr="004067C4">
        <w:rPr>
          <w:rFonts w:ascii="Times New Roman" w:hAnsi="Times New Roman" w:cs="Times New Roman"/>
          <w:kern w:val="0"/>
          <w:sz w:val="22"/>
        </w:rPr>
        <w:t xml:space="preserve"> on or before 31 March 2020, and to </w:t>
      </w:r>
      <w:proofErr w:type="spellStart"/>
      <w:r w:rsidR="004067C4" w:rsidRPr="004067C4">
        <w:rPr>
          <w:rFonts w:ascii="Times New Roman" w:hAnsi="Times New Roman" w:cs="Times New Roman"/>
          <w:kern w:val="0"/>
          <w:sz w:val="22"/>
        </w:rPr>
        <w:t>despatch</w:t>
      </w:r>
      <w:proofErr w:type="spellEnd"/>
      <w:r w:rsidR="004067C4" w:rsidRPr="004067C4">
        <w:rPr>
          <w:rFonts w:ascii="Times New Roman" w:hAnsi="Times New Roman" w:cs="Times New Roman"/>
          <w:kern w:val="0"/>
          <w:sz w:val="22"/>
        </w:rPr>
        <w:t xml:space="preserve"> the 2019 Annual Report to the shareholders of the Company on or before 30 April 2020 respectively</w:t>
      </w:r>
      <w:r w:rsidR="00A96277">
        <w:rPr>
          <w:rFonts w:ascii="Times New Roman" w:hAnsi="Times New Roman" w:cs="Times New Roman"/>
          <w:kern w:val="0"/>
          <w:sz w:val="22"/>
        </w:rPr>
        <w:t>.</w:t>
      </w:r>
    </w:p>
    <w:p w14:paraId="17F67FFA" w14:textId="3EBEE231" w:rsidR="004067C4" w:rsidRDefault="004067C4" w:rsidP="004067C4">
      <w:pPr>
        <w:autoSpaceDE w:val="0"/>
        <w:autoSpaceDN w:val="0"/>
        <w:adjustRightInd w:val="0"/>
        <w:jc w:val="both"/>
        <w:rPr>
          <w:rFonts w:ascii="Times New Roman" w:hAnsi="Times New Roman" w:cs="Times New Roman"/>
          <w:sz w:val="22"/>
        </w:rPr>
      </w:pPr>
    </w:p>
    <w:p w14:paraId="3BF84D24" w14:textId="2A552306" w:rsidR="004067C4" w:rsidRPr="004067C4" w:rsidRDefault="004067C4" w:rsidP="004067C4">
      <w:pPr>
        <w:autoSpaceDE w:val="0"/>
        <w:autoSpaceDN w:val="0"/>
        <w:adjustRightInd w:val="0"/>
        <w:jc w:val="both"/>
        <w:rPr>
          <w:rFonts w:ascii="Times New Roman" w:hAnsi="Times New Roman" w:cs="Times New Roman"/>
          <w:kern w:val="0"/>
          <w:sz w:val="22"/>
        </w:rPr>
      </w:pPr>
      <w:r w:rsidRPr="007C1CD6">
        <w:rPr>
          <w:rFonts w:ascii="Times New Roman" w:hAnsi="Times New Roman" w:cs="Times New Roman"/>
          <w:kern w:val="0"/>
          <w:sz w:val="22"/>
        </w:rPr>
        <w:t xml:space="preserve">The Company will work out an achievable and realistic audit schedule with the auditors and make further announcement on </w:t>
      </w:r>
      <w:r>
        <w:rPr>
          <w:rFonts w:ascii="Times New Roman" w:hAnsi="Times New Roman" w:cs="Times New Roman"/>
          <w:kern w:val="0"/>
          <w:sz w:val="22"/>
        </w:rPr>
        <w:t xml:space="preserve">the revised target date for </w:t>
      </w:r>
      <w:r w:rsidRPr="004067C4">
        <w:rPr>
          <w:rFonts w:ascii="Times New Roman" w:hAnsi="Times New Roman" w:cs="Times New Roman"/>
          <w:kern w:val="0"/>
          <w:sz w:val="22"/>
        </w:rPr>
        <w:t xml:space="preserve">the publication of the 2018 Annual Results, 2019 Interim Results and 2019 Annual Results and the </w:t>
      </w:r>
      <w:proofErr w:type="spellStart"/>
      <w:r w:rsidRPr="004067C4">
        <w:rPr>
          <w:rFonts w:ascii="Times New Roman" w:hAnsi="Times New Roman" w:cs="Times New Roman"/>
          <w:kern w:val="0"/>
          <w:sz w:val="22"/>
        </w:rPr>
        <w:t>despatch</w:t>
      </w:r>
      <w:proofErr w:type="spellEnd"/>
      <w:r w:rsidRPr="004067C4">
        <w:rPr>
          <w:rFonts w:ascii="Times New Roman" w:hAnsi="Times New Roman" w:cs="Times New Roman"/>
          <w:kern w:val="0"/>
          <w:sz w:val="22"/>
        </w:rPr>
        <w:t xml:space="preserve"> of the corresponding 2018 Annual Report, 2019 Interim Report and 2019 Annual Report</w:t>
      </w:r>
      <w:r w:rsidRPr="007C1CD6">
        <w:rPr>
          <w:rFonts w:ascii="Times New Roman" w:hAnsi="Times New Roman" w:cs="Times New Roman"/>
          <w:kern w:val="0"/>
          <w:sz w:val="22"/>
        </w:rPr>
        <w:t>.</w:t>
      </w:r>
    </w:p>
    <w:p w14:paraId="5C8A6356" w14:textId="42D348D7" w:rsidR="00F644D1" w:rsidRDefault="00F644D1">
      <w:pPr>
        <w:autoSpaceDE w:val="0"/>
        <w:autoSpaceDN w:val="0"/>
        <w:adjustRightInd w:val="0"/>
        <w:jc w:val="both"/>
        <w:rPr>
          <w:rFonts w:ascii="Times New Roman" w:hAnsi="Times New Roman" w:cs="Times New Roman"/>
          <w:kern w:val="0"/>
          <w:sz w:val="22"/>
        </w:rPr>
      </w:pPr>
    </w:p>
    <w:p w14:paraId="2DEB33CB" w14:textId="2588C4B3" w:rsidR="00BD6DF4" w:rsidRPr="001D6A56" w:rsidRDefault="00A156E7" w:rsidP="00490CD5">
      <w:pPr>
        <w:autoSpaceDE w:val="0"/>
        <w:autoSpaceDN w:val="0"/>
        <w:adjustRightInd w:val="0"/>
        <w:jc w:val="both"/>
        <w:rPr>
          <w:rFonts w:ascii="Times New Roman" w:hAnsi="Times New Roman" w:cs="Times New Roman"/>
          <w:b/>
          <w:sz w:val="22"/>
          <w:lang w:eastAsia="zh-HK"/>
        </w:rPr>
      </w:pPr>
      <w:r>
        <w:rPr>
          <w:rFonts w:ascii="Times New Roman" w:hAnsi="Times New Roman" w:cs="Times New Roman"/>
          <w:b/>
          <w:sz w:val="22"/>
          <w:lang w:eastAsia="zh-HK"/>
        </w:rPr>
        <w:t xml:space="preserve">CONTINUED </w:t>
      </w:r>
      <w:r w:rsidR="003034DC" w:rsidRPr="001D6A56">
        <w:rPr>
          <w:rFonts w:ascii="Times New Roman" w:hAnsi="Times New Roman" w:cs="Times New Roman" w:hint="eastAsia"/>
          <w:b/>
          <w:sz w:val="22"/>
          <w:lang w:eastAsia="zh-HK"/>
        </w:rPr>
        <w:t>S</w:t>
      </w:r>
      <w:r w:rsidR="003034DC" w:rsidRPr="001D6A56">
        <w:rPr>
          <w:rFonts w:ascii="Times New Roman" w:hAnsi="Times New Roman" w:cs="Times New Roman"/>
          <w:b/>
          <w:sz w:val="22"/>
          <w:lang w:eastAsia="zh-HK"/>
        </w:rPr>
        <w:t>USPENSION OF TRADING</w:t>
      </w:r>
    </w:p>
    <w:p w14:paraId="09578ED0" w14:textId="77777777" w:rsidR="002D6B75" w:rsidRPr="001D6A56" w:rsidRDefault="002D6B75">
      <w:pPr>
        <w:autoSpaceDE w:val="0"/>
        <w:autoSpaceDN w:val="0"/>
        <w:adjustRightInd w:val="0"/>
        <w:jc w:val="both"/>
        <w:rPr>
          <w:rFonts w:ascii="Times New Roman" w:hAnsi="Times New Roman" w:cs="Times New Roman"/>
          <w:sz w:val="22"/>
          <w:lang w:eastAsia="zh-HK"/>
        </w:rPr>
      </w:pPr>
    </w:p>
    <w:p w14:paraId="1343211D" w14:textId="20A68189" w:rsidR="003034DC" w:rsidRDefault="00E87DC6" w:rsidP="00490CD5">
      <w:pPr>
        <w:autoSpaceDE w:val="0"/>
        <w:autoSpaceDN w:val="0"/>
        <w:adjustRightInd w:val="0"/>
        <w:jc w:val="both"/>
        <w:rPr>
          <w:rFonts w:ascii="Times New Roman" w:hAnsi="Times New Roman" w:cs="Times New Roman"/>
          <w:sz w:val="22"/>
          <w:lang w:eastAsia="zh-HK"/>
        </w:rPr>
      </w:pPr>
      <w:r>
        <w:rPr>
          <w:rFonts w:ascii="Times New Roman" w:hAnsi="Times New Roman" w:cs="Times New Roman"/>
          <w:sz w:val="22"/>
          <w:lang w:eastAsia="zh-HK"/>
        </w:rPr>
        <w:t>T</w:t>
      </w:r>
      <w:r w:rsidR="00236245" w:rsidRPr="001D6A56">
        <w:rPr>
          <w:rFonts w:ascii="Times New Roman" w:hAnsi="Times New Roman" w:cs="Times New Roman"/>
          <w:sz w:val="22"/>
          <w:lang w:eastAsia="zh-HK"/>
        </w:rPr>
        <w:t xml:space="preserve">rading in the shares of the Company on </w:t>
      </w:r>
      <w:r w:rsidR="004E22D5">
        <w:rPr>
          <w:rFonts w:ascii="Times New Roman" w:hAnsi="Times New Roman" w:cs="Times New Roman"/>
          <w:sz w:val="22"/>
          <w:lang w:eastAsia="zh-HK"/>
        </w:rPr>
        <w:t>t</w:t>
      </w:r>
      <w:r w:rsidR="00236245" w:rsidRPr="001D6A56">
        <w:rPr>
          <w:rFonts w:ascii="Times New Roman" w:hAnsi="Times New Roman" w:cs="Times New Roman"/>
          <w:sz w:val="22"/>
          <w:lang w:eastAsia="zh-HK"/>
        </w:rPr>
        <w:t xml:space="preserve">he Stock Exchange </w:t>
      </w:r>
      <w:r w:rsidR="00781E5C" w:rsidRPr="001D6A56">
        <w:rPr>
          <w:rFonts w:ascii="Times New Roman" w:hAnsi="Times New Roman" w:cs="Times New Roman"/>
          <w:sz w:val="22"/>
          <w:lang w:eastAsia="zh-HK"/>
        </w:rPr>
        <w:t>has been</w:t>
      </w:r>
      <w:r w:rsidR="00236245" w:rsidRPr="001D6A56">
        <w:rPr>
          <w:rFonts w:ascii="Times New Roman" w:hAnsi="Times New Roman" w:cs="Times New Roman"/>
          <w:sz w:val="22"/>
          <w:lang w:eastAsia="zh-HK"/>
        </w:rPr>
        <w:t xml:space="preserve"> </w:t>
      </w:r>
      <w:r w:rsidR="004A6FE8">
        <w:rPr>
          <w:rFonts w:ascii="Times New Roman" w:hAnsi="Times New Roman" w:cs="Times New Roman"/>
          <w:sz w:val="22"/>
          <w:lang w:eastAsia="zh-HK"/>
        </w:rPr>
        <w:t>suspended since</w:t>
      </w:r>
      <w:r w:rsidR="00236245" w:rsidRPr="001D6A56">
        <w:rPr>
          <w:rFonts w:ascii="Times New Roman" w:hAnsi="Times New Roman" w:cs="Times New Roman"/>
          <w:sz w:val="22"/>
          <w:lang w:eastAsia="zh-HK"/>
        </w:rPr>
        <w:t xml:space="preserve"> </w:t>
      </w:r>
      <w:r w:rsidR="003A24A0">
        <w:rPr>
          <w:rFonts w:ascii="Times New Roman" w:hAnsi="Times New Roman" w:cs="Times New Roman"/>
          <w:sz w:val="22"/>
          <w:lang w:eastAsia="zh-HK"/>
        </w:rPr>
        <w:t>1</w:t>
      </w:r>
      <w:r w:rsidR="00236245" w:rsidRPr="001D6A56">
        <w:rPr>
          <w:rFonts w:ascii="Times New Roman" w:hAnsi="Times New Roman" w:cs="Times New Roman"/>
          <w:sz w:val="22"/>
          <w:lang w:eastAsia="zh-HK"/>
        </w:rPr>
        <w:t xml:space="preserve">:00 </w:t>
      </w:r>
      <w:r w:rsidR="003A24A0">
        <w:rPr>
          <w:rFonts w:ascii="Times New Roman" w:hAnsi="Times New Roman" w:cs="Times New Roman"/>
          <w:sz w:val="22"/>
          <w:lang w:eastAsia="zh-HK"/>
        </w:rPr>
        <w:t>p</w:t>
      </w:r>
      <w:r w:rsidR="00236245" w:rsidRPr="001D6A56">
        <w:rPr>
          <w:rFonts w:ascii="Times New Roman" w:hAnsi="Times New Roman" w:cs="Times New Roman"/>
          <w:sz w:val="22"/>
          <w:lang w:eastAsia="zh-HK"/>
        </w:rPr>
        <w:t xml:space="preserve">.m. on Monday, </w:t>
      </w:r>
      <w:r w:rsidR="003A24A0">
        <w:rPr>
          <w:rFonts w:ascii="Times New Roman" w:hAnsi="Times New Roman" w:cs="Times New Roman"/>
          <w:sz w:val="22"/>
          <w:lang w:eastAsia="zh-HK"/>
        </w:rPr>
        <w:t>19</w:t>
      </w:r>
      <w:r w:rsidR="00236245" w:rsidRPr="001D6A56">
        <w:rPr>
          <w:rFonts w:ascii="Times New Roman" w:hAnsi="Times New Roman" w:cs="Times New Roman"/>
          <w:sz w:val="22"/>
          <w:lang w:eastAsia="zh-HK"/>
        </w:rPr>
        <w:t xml:space="preserve"> </w:t>
      </w:r>
      <w:r w:rsidR="003A24A0">
        <w:rPr>
          <w:rFonts w:ascii="Times New Roman" w:hAnsi="Times New Roman" w:cs="Times New Roman"/>
          <w:sz w:val="22"/>
          <w:lang w:eastAsia="zh-HK"/>
        </w:rPr>
        <w:t>November</w:t>
      </w:r>
      <w:r w:rsidR="00236245" w:rsidRPr="001D6A56">
        <w:rPr>
          <w:rFonts w:ascii="Times New Roman" w:hAnsi="Times New Roman" w:cs="Times New Roman"/>
          <w:sz w:val="22"/>
          <w:lang w:eastAsia="zh-HK"/>
        </w:rPr>
        <w:t xml:space="preserve"> </w:t>
      </w:r>
      <w:r w:rsidR="003A24A0">
        <w:rPr>
          <w:rFonts w:ascii="Times New Roman" w:hAnsi="Times New Roman" w:cs="Times New Roman"/>
          <w:sz w:val="22"/>
          <w:lang w:eastAsia="zh-HK"/>
        </w:rPr>
        <w:t>2018</w:t>
      </w:r>
      <w:r w:rsidR="00D600B4" w:rsidRPr="001D6A56">
        <w:rPr>
          <w:rFonts w:ascii="Times New Roman" w:hAnsi="Times New Roman" w:cs="Times New Roman"/>
          <w:sz w:val="22"/>
          <w:lang w:eastAsia="zh-HK"/>
        </w:rPr>
        <w:t xml:space="preserve">. Trading in the </w:t>
      </w:r>
      <w:r w:rsidR="002D6B75" w:rsidRPr="001D6A56">
        <w:rPr>
          <w:rFonts w:ascii="Times New Roman" w:hAnsi="Times New Roman" w:cs="Times New Roman"/>
          <w:sz w:val="22"/>
          <w:lang w:eastAsia="zh-HK"/>
        </w:rPr>
        <w:t>s</w:t>
      </w:r>
      <w:r w:rsidR="00D600B4" w:rsidRPr="001D6A56">
        <w:rPr>
          <w:rFonts w:ascii="Times New Roman" w:hAnsi="Times New Roman" w:cs="Times New Roman"/>
          <w:sz w:val="22"/>
          <w:lang w:eastAsia="zh-HK"/>
        </w:rPr>
        <w:t>h</w:t>
      </w:r>
      <w:r w:rsidR="002D6B75" w:rsidRPr="001D6A56">
        <w:rPr>
          <w:rFonts w:ascii="Times New Roman" w:hAnsi="Times New Roman" w:cs="Times New Roman"/>
          <w:sz w:val="22"/>
          <w:lang w:eastAsia="zh-HK"/>
        </w:rPr>
        <w:t>ares of the Company will remain suspended</w:t>
      </w:r>
      <w:r w:rsidR="00236245" w:rsidRPr="001D6A56">
        <w:rPr>
          <w:rFonts w:ascii="Times New Roman" w:hAnsi="Times New Roman" w:cs="Times New Roman"/>
          <w:sz w:val="22"/>
          <w:lang w:eastAsia="zh-HK"/>
        </w:rPr>
        <w:t xml:space="preserve"> until further </w:t>
      </w:r>
      <w:r w:rsidR="00D600B4" w:rsidRPr="001D6A56">
        <w:rPr>
          <w:rFonts w:ascii="Times New Roman" w:hAnsi="Times New Roman" w:cs="Times New Roman"/>
          <w:sz w:val="22"/>
          <w:lang w:eastAsia="zh-HK"/>
        </w:rPr>
        <w:t>notice</w:t>
      </w:r>
      <w:r w:rsidR="00236245" w:rsidRPr="001D6A56">
        <w:rPr>
          <w:rFonts w:ascii="Times New Roman" w:hAnsi="Times New Roman" w:cs="Times New Roman"/>
          <w:sz w:val="22"/>
          <w:lang w:eastAsia="zh-HK"/>
        </w:rPr>
        <w:t>.</w:t>
      </w:r>
    </w:p>
    <w:p w14:paraId="0BEFB1F0" w14:textId="77777777" w:rsidR="007B0D1A" w:rsidRDefault="007B0D1A" w:rsidP="00490CD5">
      <w:pPr>
        <w:autoSpaceDE w:val="0"/>
        <w:autoSpaceDN w:val="0"/>
        <w:adjustRightInd w:val="0"/>
        <w:jc w:val="both"/>
        <w:rPr>
          <w:rFonts w:ascii="Times New Roman" w:hAnsi="Times New Roman" w:cs="Times New Roman"/>
          <w:sz w:val="22"/>
          <w:lang w:eastAsia="zh-HK"/>
        </w:rPr>
      </w:pPr>
    </w:p>
    <w:p w14:paraId="0589FEA3" w14:textId="19FA5A68" w:rsidR="007B0D1A" w:rsidRPr="009C19C5" w:rsidRDefault="007B0D1A" w:rsidP="00490CD5">
      <w:pPr>
        <w:autoSpaceDE w:val="0"/>
        <w:autoSpaceDN w:val="0"/>
        <w:adjustRightInd w:val="0"/>
        <w:jc w:val="both"/>
        <w:rPr>
          <w:rFonts w:ascii="Times New Roman" w:hAnsi="Times New Roman" w:cs="Times New Roman"/>
          <w:b/>
          <w:sz w:val="22"/>
          <w:lang w:eastAsia="zh-HK"/>
        </w:rPr>
      </w:pPr>
      <w:r>
        <w:rPr>
          <w:rFonts w:ascii="Times New Roman" w:hAnsi="Times New Roman" w:cs="Times New Roman"/>
          <w:b/>
          <w:sz w:val="22"/>
          <w:lang w:eastAsia="zh-HK"/>
        </w:rPr>
        <w:t>Shareholders and potential investors are advised to exercise caution when dealing with the shares of the Company.</w:t>
      </w:r>
    </w:p>
    <w:p w14:paraId="3C14416E" w14:textId="55E54889" w:rsidR="004B7428" w:rsidRDefault="004B7428">
      <w:pPr>
        <w:autoSpaceDE w:val="0"/>
        <w:autoSpaceDN w:val="0"/>
        <w:adjustRightInd w:val="0"/>
        <w:jc w:val="both"/>
        <w:rPr>
          <w:rFonts w:ascii="Times New Roman" w:hAnsi="Times New Roman" w:cs="Times New Roman"/>
          <w:kern w:val="0"/>
          <w:sz w:val="22"/>
        </w:rPr>
      </w:pPr>
    </w:p>
    <w:p w14:paraId="581C8EC7" w14:textId="63351C38" w:rsidR="009B6806" w:rsidRDefault="009B6806">
      <w:pPr>
        <w:autoSpaceDE w:val="0"/>
        <w:autoSpaceDN w:val="0"/>
        <w:adjustRightInd w:val="0"/>
        <w:jc w:val="both"/>
        <w:rPr>
          <w:rFonts w:ascii="Times New Roman" w:hAnsi="Times New Roman" w:cs="Times New Roman"/>
          <w:kern w:val="0"/>
          <w:sz w:val="22"/>
        </w:rPr>
      </w:pPr>
    </w:p>
    <w:p w14:paraId="0788835D" w14:textId="77777777" w:rsidR="009B6806" w:rsidRPr="001D6A56" w:rsidRDefault="009B6806">
      <w:pPr>
        <w:autoSpaceDE w:val="0"/>
        <w:autoSpaceDN w:val="0"/>
        <w:adjustRightInd w:val="0"/>
        <w:jc w:val="both"/>
        <w:rPr>
          <w:rFonts w:ascii="Times New Roman" w:hAnsi="Times New Roman" w:cs="Times New Roman"/>
          <w:kern w:val="0"/>
          <w:sz w:val="22"/>
        </w:rPr>
      </w:pPr>
    </w:p>
    <w:p w14:paraId="3C14416F" w14:textId="77777777" w:rsidR="004B7428" w:rsidRPr="001D6A56" w:rsidRDefault="005634CB" w:rsidP="003965AA">
      <w:pPr>
        <w:wordWrap w:val="0"/>
        <w:autoSpaceDE w:val="0"/>
        <w:autoSpaceDN w:val="0"/>
        <w:adjustRightInd w:val="0"/>
        <w:ind w:left="4111"/>
        <w:jc w:val="center"/>
        <w:rPr>
          <w:rFonts w:ascii="TimesNewRomanPSMT" w:hAnsi="TimesNewRomanPSMT" w:cs="TimesNewRomanPSMT"/>
          <w:sz w:val="22"/>
        </w:rPr>
      </w:pPr>
      <w:r w:rsidRPr="001D6A56">
        <w:rPr>
          <w:rFonts w:ascii="TimesNewRomanPSMT" w:hAnsi="TimesNewRomanPSMT" w:cs="TimesNewRomanPSMT"/>
          <w:sz w:val="22"/>
        </w:rPr>
        <w:t>For and on behalf of</w:t>
      </w:r>
      <w:r w:rsidRPr="001D6A56">
        <w:rPr>
          <w:rFonts w:ascii="TimesNewRomanPSMT" w:hAnsi="TimesNewRomanPSMT" w:cs="TimesNewRomanPSMT" w:hint="eastAsia"/>
          <w:sz w:val="22"/>
        </w:rPr>
        <w:t xml:space="preserve"> </w:t>
      </w:r>
    </w:p>
    <w:p w14:paraId="3C144170" w14:textId="3CE81F8D" w:rsidR="004B7428" w:rsidRPr="001D6A56" w:rsidRDefault="003A24A0" w:rsidP="003965AA">
      <w:pPr>
        <w:autoSpaceDE w:val="0"/>
        <w:autoSpaceDN w:val="0"/>
        <w:adjustRightInd w:val="0"/>
        <w:ind w:left="4111"/>
        <w:jc w:val="center"/>
        <w:rPr>
          <w:rFonts w:ascii="TimesNewRomanPS-BoldMT" w:hAnsi="TimesNewRomanPS-BoldMT" w:cs="TimesNewRomanPS-BoldMT"/>
          <w:b/>
          <w:bCs/>
          <w:sz w:val="22"/>
        </w:rPr>
      </w:pPr>
      <w:r>
        <w:rPr>
          <w:rFonts w:ascii="TimesNewRomanPS-BoldMT" w:hAnsi="TimesNewRomanPS-BoldMT" w:cs="TimesNewRomanPS-BoldMT"/>
          <w:b/>
          <w:bCs/>
          <w:sz w:val="22"/>
        </w:rPr>
        <w:t>Blockchain Group Company Limited</w:t>
      </w:r>
    </w:p>
    <w:p w14:paraId="3C144171" w14:textId="300F397E" w:rsidR="004B7428" w:rsidRPr="001D6A56" w:rsidRDefault="005634CB" w:rsidP="003965AA">
      <w:pPr>
        <w:autoSpaceDE w:val="0"/>
        <w:autoSpaceDN w:val="0"/>
        <w:adjustRightInd w:val="0"/>
        <w:ind w:left="4111"/>
        <w:jc w:val="center"/>
        <w:rPr>
          <w:rFonts w:ascii="TimesNewRomanPS-BoldMT" w:hAnsi="TimesNewRomanPS-BoldMT" w:cs="TimesNewRomanPS-BoldMT"/>
          <w:bCs/>
          <w:i/>
          <w:sz w:val="22"/>
        </w:rPr>
      </w:pPr>
      <w:r w:rsidRPr="001D6A56">
        <w:rPr>
          <w:rFonts w:ascii="TimesNewRomanPS-BoldMT" w:hAnsi="TimesNewRomanPS-BoldMT" w:cs="TimesNewRomanPS-BoldMT"/>
          <w:bCs/>
          <w:i/>
          <w:sz w:val="22"/>
        </w:rPr>
        <w:t>(</w:t>
      </w:r>
      <w:r w:rsidR="00217153" w:rsidRPr="001D6A56">
        <w:rPr>
          <w:rFonts w:ascii="TimesNewRomanPS-BoldMT" w:hAnsi="TimesNewRomanPS-BoldMT" w:cs="TimesNewRomanPS-BoldMT"/>
          <w:bCs/>
          <w:i/>
          <w:sz w:val="22"/>
        </w:rPr>
        <w:t>In Liquidation</w:t>
      </w:r>
      <w:r w:rsidRPr="001D6A56">
        <w:rPr>
          <w:rFonts w:ascii="TimesNewRomanPS-BoldMT" w:hAnsi="TimesNewRomanPS-BoldMT" w:cs="TimesNewRomanPS-BoldMT"/>
          <w:bCs/>
          <w:i/>
          <w:sz w:val="22"/>
        </w:rPr>
        <w:t>)</w:t>
      </w:r>
    </w:p>
    <w:p w14:paraId="3AC27F9F" w14:textId="44057067" w:rsidR="003965AA" w:rsidRPr="001D6A56" w:rsidRDefault="00F94C8B" w:rsidP="003965AA">
      <w:pPr>
        <w:autoSpaceDE w:val="0"/>
        <w:autoSpaceDN w:val="0"/>
        <w:adjustRightInd w:val="0"/>
        <w:ind w:left="4111"/>
        <w:jc w:val="center"/>
        <w:rPr>
          <w:rFonts w:ascii="TimesNewRomanPS-BoldMT" w:hAnsi="TimesNewRomanPS-BoldMT" w:cs="TimesNewRomanPS-BoldMT"/>
          <w:b/>
          <w:bCs/>
          <w:sz w:val="22"/>
        </w:rPr>
      </w:pPr>
      <w:r>
        <w:rPr>
          <w:rFonts w:ascii="TimesNewRomanPS-BoldMT" w:hAnsi="TimesNewRomanPS-BoldMT" w:cs="TimesNewRomanPS-BoldMT"/>
          <w:b/>
          <w:bCs/>
          <w:sz w:val="22"/>
        </w:rPr>
        <w:t>Lai Kar Yan (Derek)</w:t>
      </w:r>
    </w:p>
    <w:p w14:paraId="3C144172" w14:textId="21C3BAB0" w:rsidR="004B7428" w:rsidRPr="001D6A56" w:rsidRDefault="00F94C8B" w:rsidP="003965AA">
      <w:pPr>
        <w:autoSpaceDE w:val="0"/>
        <w:autoSpaceDN w:val="0"/>
        <w:adjustRightInd w:val="0"/>
        <w:ind w:left="4111"/>
        <w:jc w:val="center"/>
        <w:rPr>
          <w:rFonts w:ascii="TimesNewRomanPS-BoldMT" w:hAnsi="TimesNewRomanPS-BoldMT" w:cs="TimesNewRomanPS-BoldMT"/>
          <w:b/>
          <w:bCs/>
          <w:sz w:val="22"/>
        </w:rPr>
      </w:pPr>
      <w:r>
        <w:rPr>
          <w:rFonts w:ascii="TimesNewRomanPS-BoldMT" w:hAnsi="TimesNewRomanPS-BoldMT" w:cs="TimesNewRomanPS-BoldMT"/>
          <w:b/>
          <w:bCs/>
          <w:sz w:val="22"/>
        </w:rPr>
        <w:t xml:space="preserve">Yip </w:t>
      </w:r>
      <w:proofErr w:type="spellStart"/>
      <w:proofErr w:type="gramStart"/>
      <w:r>
        <w:rPr>
          <w:rFonts w:ascii="TimesNewRomanPS-BoldMT" w:hAnsi="TimesNewRomanPS-BoldMT" w:cs="TimesNewRomanPS-BoldMT"/>
          <w:b/>
          <w:bCs/>
          <w:sz w:val="22"/>
        </w:rPr>
        <w:t>Wa</w:t>
      </w:r>
      <w:proofErr w:type="spellEnd"/>
      <w:proofErr w:type="gramEnd"/>
      <w:r>
        <w:rPr>
          <w:rFonts w:ascii="TimesNewRomanPS-BoldMT" w:hAnsi="TimesNewRomanPS-BoldMT" w:cs="TimesNewRomanPS-BoldMT"/>
          <w:b/>
          <w:bCs/>
          <w:sz w:val="22"/>
        </w:rPr>
        <w:t xml:space="preserve"> Ming (Ben)</w:t>
      </w:r>
    </w:p>
    <w:p w14:paraId="3C144173" w14:textId="6A1B4E62" w:rsidR="004B7428" w:rsidRDefault="005634CB" w:rsidP="003965AA">
      <w:pPr>
        <w:autoSpaceDE w:val="0"/>
        <w:autoSpaceDN w:val="0"/>
        <w:adjustRightInd w:val="0"/>
        <w:ind w:left="4111"/>
        <w:jc w:val="center"/>
        <w:rPr>
          <w:rFonts w:ascii="TimesNewRomanPS-ItalicMT" w:hAnsi="TimesNewRomanPS-ItalicMT" w:cs="TimesNewRomanPS-ItalicMT"/>
          <w:i/>
          <w:iCs/>
          <w:sz w:val="22"/>
        </w:rPr>
      </w:pPr>
      <w:r w:rsidRPr="001D6A56">
        <w:rPr>
          <w:rFonts w:ascii="TimesNewRomanPS-ItalicMT" w:hAnsi="TimesNewRomanPS-ItalicMT" w:cs="TimesNewRomanPS-ItalicMT"/>
          <w:i/>
          <w:iCs/>
          <w:sz w:val="22"/>
        </w:rPr>
        <w:t xml:space="preserve">Joint </w:t>
      </w:r>
      <w:r w:rsidR="003A24A0">
        <w:rPr>
          <w:rFonts w:ascii="TimesNewRomanPS-ItalicMT" w:hAnsi="TimesNewRomanPS-ItalicMT" w:cs="TimesNewRomanPS-ItalicMT"/>
          <w:i/>
          <w:iCs/>
          <w:sz w:val="22"/>
        </w:rPr>
        <w:t xml:space="preserve">and Several </w:t>
      </w:r>
      <w:r w:rsidR="00044F66" w:rsidRPr="001D6A56">
        <w:rPr>
          <w:rFonts w:ascii="TimesNewRomanPS-ItalicMT" w:hAnsi="TimesNewRomanPS-ItalicMT" w:cs="TimesNewRomanPS-ItalicMT"/>
          <w:i/>
          <w:iCs/>
          <w:sz w:val="22"/>
        </w:rPr>
        <w:t>Liquidators</w:t>
      </w:r>
    </w:p>
    <w:p w14:paraId="1D49293C" w14:textId="3344C969" w:rsidR="00E87DC6" w:rsidRPr="001D6A56" w:rsidRDefault="00E87DC6" w:rsidP="003965AA">
      <w:pPr>
        <w:autoSpaceDE w:val="0"/>
        <w:autoSpaceDN w:val="0"/>
        <w:adjustRightInd w:val="0"/>
        <w:ind w:left="4111"/>
        <w:jc w:val="center"/>
        <w:rPr>
          <w:rFonts w:ascii="TimesNewRomanPS-ItalicMT" w:hAnsi="TimesNewRomanPS-ItalicMT" w:cs="TimesNewRomanPS-ItalicMT"/>
          <w:i/>
          <w:iCs/>
          <w:sz w:val="22"/>
        </w:rPr>
      </w:pPr>
      <w:proofErr w:type="gramStart"/>
      <w:r>
        <w:rPr>
          <w:rFonts w:ascii="TimesNewRomanPS-ItalicMT" w:hAnsi="TimesNewRomanPS-ItalicMT" w:cs="TimesNewRomanPS-ItalicMT"/>
          <w:i/>
          <w:iCs/>
          <w:sz w:val="22"/>
        </w:rPr>
        <w:t>acting</w:t>
      </w:r>
      <w:proofErr w:type="gramEnd"/>
      <w:r>
        <w:rPr>
          <w:rFonts w:ascii="TimesNewRomanPS-ItalicMT" w:hAnsi="TimesNewRomanPS-ItalicMT" w:cs="TimesNewRomanPS-ItalicMT"/>
          <w:i/>
          <w:iCs/>
          <w:sz w:val="22"/>
        </w:rPr>
        <w:t xml:space="preserve"> </w:t>
      </w:r>
      <w:r w:rsidRPr="00633A6B">
        <w:rPr>
          <w:rFonts w:ascii="TimesNewRomanPS-ItalicMT" w:hAnsi="TimesNewRomanPS-ItalicMT" w:cs="TimesNewRomanPS-ItalicMT"/>
          <w:i/>
          <w:iCs/>
          <w:sz w:val="21"/>
        </w:rPr>
        <w:t>as agents of the Company only and without personal liability</w:t>
      </w:r>
    </w:p>
    <w:p w14:paraId="3C144174" w14:textId="77777777" w:rsidR="004B7428" w:rsidRPr="001D6A56" w:rsidRDefault="004B7428">
      <w:pPr>
        <w:autoSpaceDE w:val="0"/>
        <w:autoSpaceDN w:val="0"/>
        <w:adjustRightInd w:val="0"/>
        <w:rPr>
          <w:rFonts w:ascii="TimesNewRomanPS-ItalicMT" w:hAnsi="TimesNewRomanPS-ItalicMT" w:cs="TimesNewRomanPS-ItalicMT"/>
          <w:i/>
          <w:iCs/>
          <w:sz w:val="22"/>
        </w:rPr>
      </w:pPr>
    </w:p>
    <w:p w14:paraId="3C144175" w14:textId="3DC7BC1F" w:rsidR="004B7428" w:rsidRPr="001D6A56" w:rsidRDefault="005634CB">
      <w:pPr>
        <w:autoSpaceDE w:val="0"/>
        <w:autoSpaceDN w:val="0"/>
        <w:adjustRightInd w:val="0"/>
        <w:rPr>
          <w:rFonts w:ascii="TimesNewRomanPSMT" w:hAnsi="TimesNewRomanPSMT" w:cs="TimesNewRomanPSMT"/>
          <w:sz w:val="22"/>
        </w:rPr>
      </w:pPr>
      <w:r w:rsidRPr="001D6A56">
        <w:rPr>
          <w:rFonts w:ascii="TimesNewRomanPSMT" w:hAnsi="TimesNewRomanPSMT" w:cs="TimesNewRomanPSMT"/>
          <w:sz w:val="22"/>
        </w:rPr>
        <w:t xml:space="preserve">Hong Kong, </w:t>
      </w:r>
      <w:r w:rsidR="00742CCE">
        <w:rPr>
          <w:rFonts w:ascii="TimesNewRomanPSMT" w:hAnsi="TimesNewRomanPSMT" w:cs="TimesNewRomanPSMT"/>
          <w:sz w:val="22"/>
        </w:rPr>
        <w:t>[</w:t>
      </w:r>
      <w:r w:rsidR="002071EF">
        <w:rPr>
          <w:rFonts w:ascii="TimesNewRomanPSMT" w:hAnsi="TimesNewRomanPSMT" w:cs="TimesNewRomanPSMT"/>
          <w:sz w:val="22"/>
        </w:rPr>
        <w:t>18] February 2020</w:t>
      </w:r>
    </w:p>
    <w:p w14:paraId="3C144176" w14:textId="77777777" w:rsidR="004B7428" w:rsidRPr="001D6A56" w:rsidRDefault="004B7428">
      <w:pPr>
        <w:autoSpaceDE w:val="0"/>
        <w:autoSpaceDN w:val="0"/>
        <w:adjustRightInd w:val="0"/>
        <w:rPr>
          <w:rFonts w:ascii="TimesNewRomanPSMT" w:hAnsi="TimesNewRomanPSMT" w:cs="TimesNewRomanPSMT"/>
          <w:sz w:val="22"/>
        </w:rPr>
      </w:pPr>
    </w:p>
    <w:p w14:paraId="3C144178" w14:textId="504CC182" w:rsidR="004B7428" w:rsidRDefault="00D50EA4" w:rsidP="00D50EA4">
      <w:pPr>
        <w:autoSpaceDE w:val="0"/>
        <w:autoSpaceDN w:val="0"/>
        <w:adjustRightInd w:val="0"/>
        <w:jc w:val="both"/>
        <w:rPr>
          <w:rFonts w:ascii="TimesNewRomanPS-ItalicMT" w:hAnsi="TimesNewRomanPS-ItalicMT" w:cs="TimesNewRomanPS-ItalicMT"/>
          <w:i/>
          <w:iCs/>
          <w:sz w:val="21"/>
        </w:rPr>
      </w:pPr>
      <w:r w:rsidRPr="001D6A56">
        <w:rPr>
          <w:rFonts w:ascii="TimesNewRomanPS-ItalicMT" w:hAnsi="TimesNewRomanPS-ItalicMT" w:cs="TimesNewRomanPS-ItalicMT"/>
          <w:i/>
          <w:iCs/>
          <w:sz w:val="21"/>
        </w:rPr>
        <w:t xml:space="preserve">As at the date of this announcement, the executive directors of the Company are Mr. </w:t>
      </w:r>
      <w:proofErr w:type="spellStart"/>
      <w:proofErr w:type="gramStart"/>
      <w:r w:rsidR="003A24A0">
        <w:rPr>
          <w:rFonts w:ascii="TimesNewRomanPS-ItalicMT" w:hAnsi="TimesNewRomanPS-ItalicMT" w:cs="TimesNewRomanPS-ItalicMT"/>
          <w:i/>
          <w:iCs/>
          <w:sz w:val="21"/>
        </w:rPr>
        <w:t>Cai</w:t>
      </w:r>
      <w:proofErr w:type="spellEnd"/>
      <w:proofErr w:type="gramEnd"/>
      <w:r w:rsidR="003A24A0">
        <w:rPr>
          <w:rFonts w:ascii="TimesNewRomanPS-ItalicMT" w:hAnsi="TimesNewRomanPS-ItalicMT" w:cs="TimesNewRomanPS-ItalicMT"/>
          <w:i/>
          <w:iCs/>
          <w:sz w:val="21"/>
        </w:rPr>
        <w:t xml:space="preserve"> </w:t>
      </w:r>
      <w:proofErr w:type="spellStart"/>
      <w:r w:rsidR="003A24A0">
        <w:rPr>
          <w:rFonts w:ascii="TimesNewRomanPS-ItalicMT" w:hAnsi="TimesNewRomanPS-ItalicMT" w:cs="TimesNewRomanPS-ItalicMT"/>
          <w:i/>
          <w:iCs/>
          <w:sz w:val="21"/>
        </w:rPr>
        <w:t>Zhenrong</w:t>
      </w:r>
      <w:proofErr w:type="spellEnd"/>
      <w:r w:rsidR="003A24A0">
        <w:rPr>
          <w:rFonts w:ascii="TimesNewRomanPS-ItalicMT" w:hAnsi="TimesNewRomanPS-ItalicMT" w:cs="TimesNewRomanPS-ItalicMT"/>
          <w:i/>
          <w:iCs/>
          <w:sz w:val="21"/>
        </w:rPr>
        <w:t xml:space="preserve">, </w:t>
      </w:r>
      <w:r w:rsidR="003A24A0">
        <w:rPr>
          <w:rFonts w:ascii="TimesNewRomanPS-ItalicMT" w:hAnsi="TimesNewRomanPS-ItalicMT" w:cs="TimesNewRomanPS-ItalicMT"/>
          <w:i/>
          <w:iCs/>
          <w:sz w:val="21"/>
        </w:rPr>
        <w:lastRenderedPageBreak/>
        <w:t xml:space="preserve">Mr. Liu Yong, Mr. </w:t>
      </w:r>
      <w:proofErr w:type="spellStart"/>
      <w:r w:rsidR="003A24A0">
        <w:rPr>
          <w:rFonts w:ascii="TimesNewRomanPS-ItalicMT" w:hAnsi="TimesNewRomanPS-ItalicMT" w:cs="TimesNewRomanPS-ItalicMT"/>
          <w:i/>
          <w:iCs/>
          <w:sz w:val="21"/>
        </w:rPr>
        <w:t>Cai</w:t>
      </w:r>
      <w:proofErr w:type="spellEnd"/>
      <w:r w:rsidR="003A24A0">
        <w:rPr>
          <w:rFonts w:ascii="TimesNewRomanPS-ItalicMT" w:hAnsi="TimesNewRomanPS-ItalicMT" w:cs="TimesNewRomanPS-ItalicMT"/>
          <w:i/>
          <w:iCs/>
          <w:sz w:val="21"/>
        </w:rPr>
        <w:t xml:space="preserve"> </w:t>
      </w:r>
      <w:proofErr w:type="spellStart"/>
      <w:r w:rsidR="003A24A0">
        <w:rPr>
          <w:rFonts w:ascii="TimesNewRomanPS-ItalicMT" w:hAnsi="TimesNewRomanPS-ItalicMT" w:cs="TimesNewRomanPS-ItalicMT"/>
          <w:i/>
          <w:iCs/>
          <w:sz w:val="21"/>
        </w:rPr>
        <w:t>Zhenyao</w:t>
      </w:r>
      <w:proofErr w:type="spellEnd"/>
      <w:r w:rsidR="003A24A0">
        <w:rPr>
          <w:rFonts w:ascii="TimesNewRomanPS-ItalicMT" w:hAnsi="TimesNewRomanPS-ItalicMT" w:cs="TimesNewRomanPS-ItalicMT"/>
          <w:i/>
          <w:iCs/>
          <w:sz w:val="21"/>
        </w:rPr>
        <w:t xml:space="preserve">, Mr. </w:t>
      </w:r>
      <w:proofErr w:type="spellStart"/>
      <w:r w:rsidR="003A24A0">
        <w:rPr>
          <w:rFonts w:ascii="TimesNewRomanPS-ItalicMT" w:hAnsi="TimesNewRomanPS-ItalicMT" w:cs="TimesNewRomanPS-ItalicMT"/>
          <w:i/>
          <w:iCs/>
          <w:sz w:val="21"/>
        </w:rPr>
        <w:t>Cai</w:t>
      </w:r>
      <w:proofErr w:type="spellEnd"/>
      <w:r w:rsidR="003A24A0">
        <w:rPr>
          <w:rFonts w:ascii="TimesNewRomanPS-ItalicMT" w:hAnsi="TimesNewRomanPS-ItalicMT" w:cs="TimesNewRomanPS-ItalicMT"/>
          <w:i/>
          <w:iCs/>
          <w:sz w:val="21"/>
        </w:rPr>
        <w:t xml:space="preserve"> </w:t>
      </w:r>
      <w:proofErr w:type="spellStart"/>
      <w:r w:rsidR="003A24A0">
        <w:rPr>
          <w:rFonts w:ascii="TimesNewRomanPS-ItalicMT" w:hAnsi="TimesNewRomanPS-ItalicMT" w:cs="TimesNewRomanPS-ItalicMT"/>
          <w:i/>
          <w:iCs/>
          <w:sz w:val="21"/>
        </w:rPr>
        <w:t>Zhenying</w:t>
      </w:r>
      <w:proofErr w:type="spellEnd"/>
      <w:r w:rsidR="003A24A0">
        <w:rPr>
          <w:rFonts w:ascii="TimesNewRomanPS-ItalicMT" w:hAnsi="TimesNewRomanPS-ItalicMT" w:cs="TimesNewRomanPS-ItalicMT"/>
          <w:i/>
          <w:iCs/>
          <w:sz w:val="21"/>
        </w:rPr>
        <w:t xml:space="preserve">, Mr. </w:t>
      </w:r>
      <w:proofErr w:type="spellStart"/>
      <w:r w:rsidR="003A24A0">
        <w:rPr>
          <w:rFonts w:ascii="TimesNewRomanPS-ItalicMT" w:hAnsi="TimesNewRomanPS-ItalicMT" w:cs="TimesNewRomanPS-ItalicMT"/>
          <w:i/>
          <w:iCs/>
          <w:sz w:val="21"/>
        </w:rPr>
        <w:t>Cai</w:t>
      </w:r>
      <w:proofErr w:type="spellEnd"/>
      <w:r w:rsidR="003A24A0">
        <w:rPr>
          <w:rFonts w:ascii="TimesNewRomanPS-ItalicMT" w:hAnsi="TimesNewRomanPS-ItalicMT" w:cs="TimesNewRomanPS-ItalicMT"/>
          <w:i/>
          <w:iCs/>
          <w:sz w:val="21"/>
        </w:rPr>
        <w:t xml:space="preserve"> </w:t>
      </w:r>
      <w:proofErr w:type="spellStart"/>
      <w:r w:rsidR="003A24A0">
        <w:rPr>
          <w:rFonts w:ascii="TimesNewRomanPS-ItalicMT" w:hAnsi="TimesNewRomanPS-ItalicMT" w:cs="TimesNewRomanPS-ItalicMT"/>
          <w:i/>
          <w:iCs/>
          <w:sz w:val="21"/>
        </w:rPr>
        <w:t>Yangbo</w:t>
      </w:r>
      <w:proofErr w:type="spellEnd"/>
      <w:r w:rsidR="003A24A0">
        <w:rPr>
          <w:rFonts w:ascii="TimesNewRomanPS-ItalicMT" w:hAnsi="TimesNewRomanPS-ItalicMT" w:cs="TimesNewRomanPS-ItalicMT"/>
          <w:i/>
          <w:iCs/>
          <w:sz w:val="21"/>
        </w:rPr>
        <w:t xml:space="preserve">, Mr. Guan </w:t>
      </w:r>
      <w:proofErr w:type="spellStart"/>
      <w:r w:rsidR="003A24A0">
        <w:rPr>
          <w:rFonts w:ascii="TimesNewRomanPS-ItalicMT" w:hAnsi="TimesNewRomanPS-ItalicMT" w:cs="TimesNewRomanPS-ItalicMT"/>
          <w:i/>
          <w:iCs/>
          <w:sz w:val="21"/>
        </w:rPr>
        <w:t>Shaofeng</w:t>
      </w:r>
      <w:proofErr w:type="spellEnd"/>
      <w:r w:rsidR="003A24A0">
        <w:rPr>
          <w:rFonts w:ascii="TimesNewRomanPS-ItalicMT" w:hAnsi="TimesNewRomanPS-ItalicMT" w:cs="TimesNewRomanPS-ItalicMT"/>
          <w:i/>
          <w:iCs/>
          <w:sz w:val="21"/>
        </w:rPr>
        <w:t xml:space="preserve"> and Mr. Sun </w:t>
      </w:r>
      <w:proofErr w:type="spellStart"/>
      <w:r w:rsidR="003A24A0">
        <w:rPr>
          <w:rFonts w:ascii="TimesNewRomanPS-ItalicMT" w:hAnsi="TimesNewRomanPS-ItalicMT" w:cs="TimesNewRomanPS-ItalicMT"/>
          <w:i/>
          <w:iCs/>
          <w:sz w:val="21"/>
        </w:rPr>
        <w:t>Zhe</w:t>
      </w:r>
      <w:proofErr w:type="spellEnd"/>
      <w:r w:rsidR="003A24A0">
        <w:rPr>
          <w:rFonts w:ascii="TimesNewRomanPS-ItalicMT" w:hAnsi="TimesNewRomanPS-ItalicMT" w:cs="TimesNewRomanPS-ItalicMT"/>
          <w:i/>
          <w:iCs/>
          <w:sz w:val="21"/>
        </w:rPr>
        <w:t>. T</w:t>
      </w:r>
      <w:r w:rsidRPr="001D6A56">
        <w:rPr>
          <w:rFonts w:ascii="TimesNewRomanPS-ItalicMT" w:hAnsi="TimesNewRomanPS-ItalicMT" w:cs="TimesNewRomanPS-ItalicMT"/>
          <w:i/>
          <w:iCs/>
          <w:sz w:val="21"/>
        </w:rPr>
        <w:t xml:space="preserve">he </w:t>
      </w:r>
      <w:r w:rsidR="003A24A0">
        <w:rPr>
          <w:rFonts w:ascii="TimesNewRomanPS-ItalicMT" w:hAnsi="TimesNewRomanPS-ItalicMT" w:cs="TimesNewRomanPS-ItalicMT"/>
          <w:i/>
          <w:iCs/>
          <w:sz w:val="21"/>
        </w:rPr>
        <w:t xml:space="preserve">non-executive director of the Company is Ms. Ling Qin. The </w:t>
      </w:r>
      <w:r w:rsidRPr="001D6A56">
        <w:rPr>
          <w:rFonts w:ascii="TimesNewRomanPS-ItalicMT" w:hAnsi="TimesNewRomanPS-ItalicMT" w:cs="TimesNewRomanPS-ItalicMT"/>
          <w:i/>
          <w:iCs/>
          <w:sz w:val="21"/>
        </w:rPr>
        <w:t xml:space="preserve">independent non-executive directors of the Company are </w:t>
      </w:r>
      <w:r w:rsidR="003A24A0">
        <w:rPr>
          <w:rFonts w:ascii="TimesNewRomanPS-ItalicMT" w:hAnsi="TimesNewRomanPS-ItalicMT" w:cs="TimesNewRomanPS-ItalicMT"/>
          <w:i/>
          <w:iCs/>
          <w:sz w:val="21"/>
        </w:rPr>
        <w:t xml:space="preserve">Dr. Li Mow Ming Sonny, Mr. Huang </w:t>
      </w:r>
      <w:proofErr w:type="spellStart"/>
      <w:r w:rsidR="003A24A0">
        <w:rPr>
          <w:rFonts w:ascii="TimesNewRomanPS-ItalicMT" w:hAnsi="TimesNewRomanPS-ItalicMT" w:cs="TimesNewRomanPS-ItalicMT"/>
          <w:i/>
          <w:iCs/>
          <w:sz w:val="21"/>
        </w:rPr>
        <w:t>Jianwei</w:t>
      </w:r>
      <w:proofErr w:type="spellEnd"/>
      <w:r w:rsidR="003A24A0">
        <w:rPr>
          <w:rFonts w:ascii="TimesNewRomanPS-ItalicMT" w:hAnsi="TimesNewRomanPS-ItalicMT" w:cs="TimesNewRomanPS-ItalicMT"/>
          <w:i/>
          <w:iCs/>
          <w:sz w:val="21"/>
        </w:rPr>
        <w:t xml:space="preserve">, Mr. Dai </w:t>
      </w:r>
      <w:proofErr w:type="spellStart"/>
      <w:r w:rsidR="003A24A0">
        <w:rPr>
          <w:rFonts w:ascii="TimesNewRomanPS-ItalicMT" w:hAnsi="TimesNewRomanPS-ItalicMT" w:cs="TimesNewRomanPS-ItalicMT"/>
          <w:i/>
          <w:iCs/>
          <w:sz w:val="21"/>
        </w:rPr>
        <w:t>Rongchang</w:t>
      </w:r>
      <w:proofErr w:type="spellEnd"/>
      <w:r w:rsidR="003A24A0">
        <w:rPr>
          <w:rFonts w:ascii="TimesNewRomanPS-ItalicMT" w:hAnsi="TimesNewRomanPS-ItalicMT" w:cs="TimesNewRomanPS-ItalicMT"/>
          <w:i/>
          <w:iCs/>
          <w:sz w:val="21"/>
        </w:rPr>
        <w:t xml:space="preserve"> and Ms. Xu </w:t>
      </w:r>
      <w:proofErr w:type="spellStart"/>
      <w:r w:rsidR="003A24A0">
        <w:rPr>
          <w:rFonts w:ascii="TimesNewRomanPS-ItalicMT" w:hAnsi="TimesNewRomanPS-ItalicMT" w:cs="TimesNewRomanPS-ItalicMT"/>
          <w:i/>
          <w:iCs/>
          <w:sz w:val="21"/>
        </w:rPr>
        <w:t>Liqin</w:t>
      </w:r>
      <w:proofErr w:type="spellEnd"/>
      <w:r w:rsidR="003A24A0">
        <w:rPr>
          <w:rFonts w:ascii="TimesNewRomanPS-ItalicMT" w:hAnsi="TimesNewRomanPS-ItalicMT" w:cs="TimesNewRomanPS-ItalicMT"/>
          <w:i/>
          <w:iCs/>
          <w:sz w:val="21"/>
        </w:rPr>
        <w:t>.</w:t>
      </w:r>
    </w:p>
    <w:p w14:paraId="216BCECA" w14:textId="77777777" w:rsidR="007B00F4" w:rsidRDefault="007B00F4" w:rsidP="00D50EA4">
      <w:pPr>
        <w:autoSpaceDE w:val="0"/>
        <w:autoSpaceDN w:val="0"/>
        <w:adjustRightInd w:val="0"/>
        <w:jc w:val="both"/>
        <w:rPr>
          <w:rFonts w:ascii="TimesNewRomanPS-ItalicMT" w:hAnsi="TimesNewRomanPS-ItalicMT" w:cs="TimesNewRomanPS-ItalicMT"/>
          <w:i/>
          <w:iCs/>
          <w:sz w:val="21"/>
        </w:rPr>
      </w:pPr>
    </w:p>
    <w:p w14:paraId="6484FADD" w14:textId="77777777" w:rsidR="007B00F4" w:rsidRPr="00B368BF" w:rsidRDefault="007B00F4" w:rsidP="007B00F4">
      <w:pPr>
        <w:autoSpaceDE w:val="0"/>
        <w:autoSpaceDN w:val="0"/>
        <w:adjustRightInd w:val="0"/>
        <w:jc w:val="both"/>
        <w:rPr>
          <w:rFonts w:ascii="TimesNewRomanPS-ItalicMT" w:hAnsi="TimesNewRomanPS-ItalicMT" w:cs="TimesNewRomanPS-ItalicMT"/>
          <w:i/>
          <w:iCs/>
          <w:sz w:val="21"/>
        </w:rPr>
      </w:pPr>
      <w:r w:rsidRPr="00B368BF">
        <w:rPr>
          <w:rFonts w:ascii="TimesNewRomanPS-ItalicMT" w:hAnsi="TimesNewRomanPS-ItalicMT" w:cs="TimesNewRomanPS-ItalicMT"/>
          <w:i/>
          <w:iCs/>
          <w:sz w:val="21"/>
        </w:rPr>
        <w:t xml:space="preserve">The affairs, business and property of the Company are being managed by the Joint </w:t>
      </w:r>
      <w:r>
        <w:rPr>
          <w:rFonts w:ascii="TimesNewRomanPS-ItalicMT" w:hAnsi="TimesNewRomanPS-ItalicMT" w:cs="TimesNewRomanPS-ItalicMT"/>
          <w:i/>
          <w:iCs/>
          <w:sz w:val="21"/>
        </w:rPr>
        <w:t>and Several</w:t>
      </w:r>
      <w:r w:rsidRPr="00B368BF">
        <w:rPr>
          <w:rFonts w:ascii="TimesNewRomanPS-ItalicMT" w:hAnsi="TimesNewRomanPS-ItalicMT" w:cs="TimesNewRomanPS-ItalicMT"/>
          <w:i/>
          <w:iCs/>
          <w:sz w:val="21"/>
        </w:rPr>
        <w:t xml:space="preserve"> Liquidators who act as agents of the Company only and without personal liability.</w:t>
      </w:r>
    </w:p>
    <w:p w14:paraId="3FE8E423" w14:textId="77777777" w:rsidR="007B00F4" w:rsidRPr="001D6A56" w:rsidRDefault="007B00F4" w:rsidP="00D50EA4">
      <w:pPr>
        <w:autoSpaceDE w:val="0"/>
        <w:autoSpaceDN w:val="0"/>
        <w:adjustRightInd w:val="0"/>
        <w:jc w:val="both"/>
        <w:rPr>
          <w:rFonts w:ascii="Times New Roman" w:hAnsi="Times New Roman" w:cs="Times New Roman"/>
          <w:kern w:val="0"/>
          <w:sz w:val="21"/>
        </w:rPr>
      </w:pPr>
    </w:p>
    <w:sectPr w:rsidR="007B00F4" w:rsidRPr="001D6A56" w:rsidSect="00AF6E55">
      <w:footerReference w:type="default" r:id="rId9"/>
      <w:pgSz w:w="11906" w:h="16838" w:code="9"/>
      <w:pgMar w:top="1526" w:right="1800" w:bottom="1440" w:left="180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CE450" w14:textId="77777777" w:rsidR="00EE1856" w:rsidRDefault="00EE1856">
      <w:r>
        <w:separator/>
      </w:r>
    </w:p>
  </w:endnote>
  <w:endnote w:type="continuationSeparator" w:id="0">
    <w:p w14:paraId="2587031C" w14:textId="77777777" w:rsidR="00EE1856" w:rsidRDefault="00EE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FB97" w14:textId="271238EA" w:rsidR="005D1525" w:rsidRPr="00F812B5" w:rsidRDefault="005D1525">
    <w:pPr>
      <w:pStyle w:val="Footer"/>
      <w:jc w:val="center"/>
      <w:rPr>
        <w:rFonts w:ascii="Times New Roman" w:hAnsi="Times New Roman" w:cs="Times New Roman"/>
        <w:sz w:val="21"/>
        <w:szCs w:val="21"/>
      </w:rPr>
    </w:pPr>
    <w:proofErr w:type="gramStart"/>
    <w:r w:rsidRPr="00F812B5">
      <w:rPr>
        <w:rFonts w:ascii="TimesNewRomanPSMT" w:hAnsi="TimesNewRomanPSMT" w:cs="TimesNewRomanPSMT"/>
        <w:kern w:val="0"/>
        <w:sz w:val="21"/>
        <w:szCs w:val="21"/>
      </w:rPr>
      <w:t>—</w:t>
    </w:r>
    <w:proofErr w:type="gramEnd"/>
    <w:r w:rsidRPr="00F812B5">
      <w:rPr>
        <w:rFonts w:ascii="Times New Roman" w:hAnsi="Times New Roman" w:cs="Times New Roman"/>
        <w:sz w:val="21"/>
        <w:szCs w:val="21"/>
      </w:rPr>
      <w:t xml:space="preserve"> </w:t>
    </w:r>
    <w:sdt>
      <w:sdtPr>
        <w:rPr>
          <w:rFonts w:ascii="Times New Roman" w:hAnsi="Times New Roman" w:cs="Times New Roman"/>
          <w:sz w:val="21"/>
          <w:szCs w:val="21"/>
        </w:rPr>
        <w:id w:val="788321754"/>
        <w:docPartObj>
          <w:docPartGallery w:val="Page Numbers (Bottom of Page)"/>
          <w:docPartUnique/>
        </w:docPartObj>
      </w:sdtPr>
      <w:sdtEndPr/>
      <w:sdtContent>
        <w:r w:rsidRPr="00F812B5">
          <w:rPr>
            <w:rFonts w:ascii="Times New Roman" w:hAnsi="Times New Roman" w:cs="Times New Roman"/>
            <w:sz w:val="21"/>
            <w:szCs w:val="21"/>
          </w:rPr>
          <w:fldChar w:fldCharType="begin"/>
        </w:r>
        <w:r w:rsidRPr="00F812B5">
          <w:rPr>
            <w:rFonts w:ascii="Times New Roman" w:hAnsi="Times New Roman" w:cs="Times New Roman"/>
            <w:sz w:val="21"/>
            <w:szCs w:val="21"/>
          </w:rPr>
          <w:instrText>PAGE   \* MERGEFORMAT</w:instrText>
        </w:r>
        <w:r w:rsidRPr="00F812B5">
          <w:rPr>
            <w:rFonts w:ascii="Times New Roman" w:hAnsi="Times New Roman" w:cs="Times New Roman"/>
            <w:sz w:val="21"/>
            <w:szCs w:val="21"/>
          </w:rPr>
          <w:fldChar w:fldCharType="separate"/>
        </w:r>
        <w:r w:rsidR="00283D85" w:rsidRPr="00283D85">
          <w:rPr>
            <w:rFonts w:ascii="Times New Roman" w:hAnsi="Times New Roman" w:cs="Times New Roman"/>
            <w:noProof/>
            <w:sz w:val="21"/>
            <w:szCs w:val="21"/>
            <w:lang w:val="zh-TW"/>
          </w:rPr>
          <w:t>3</w:t>
        </w:r>
        <w:r w:rsidRPr="00F812B5">
          <w:rPr>
            <w:rFonts w:ascii="Times New Roman" w:hAnsi="Times New Roman" w:cs="Times New Roman"/>
            <w:sz w:val="21"/>
            <w:szCs w:val="21"/>
          </w:rPr>
          <w:fldChar w:fldCharType="end"/>
        </w:r>
        <w:r w:rsidRPr="00F812B5">
          <w:rPr>
            <w:rFonts w:ascii="Times New Roman" w:hAnsi="Times New Roman" w:cs="Times New Roman"/>
            <w:sz w:val="21"/>
            <w:szCs w:val="21"/>
          </w:rPr>
          <w:t xml:space="preserve"> </w:t>
        </w:r>
        <w:proofErr w:type="gramStart"/>
        <w:r w:rsidRPr="00F812B5">
          <w:rPr>
            <w:rFonts w:ascii="TimesNewRomanPSMT" w:hAnsi="TimesNewRomanPSMT" w:cs="TimesNewRomanPSMT"/>
            <w:kern w:val="0"/>
            <w:sz w:val="21"/>
            <w:szCs w:val="21"/>
          </w:rPr>
          <w:t>—</w:t>
        </w:r>
        <w:proofErr w:type="gramEnd"/>
      </w:sdtContent>
    </w:sdt>
  </w:p>
  <w:p w14:paraId="3C14417E" w14:textId="77777777" w:rsidR="005D1525" w:rsidRDefault="005D1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5D650" w14:textId="77777777" w:rsidR="00EE1856" w:rsidRDefault="00EE1856">
      <w:r>
        <w:separator/>
      </w:r>
    </w:p>
  </w:footnote>
  <w:footnote w:type="continuationSeparator" w:id="0">
    <w:p w14:paraId="758E9B55" w14:textId="77777777" w:rsidR="00EE1856" w:rsidRDefault="00EE1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23DF0"/>
    <w:multiLevelType w:val="hybridMultilevel"/>
    <w:tmpl w:val="E3748894"/>
    <w:lvl w:ilvl="0" w:tplc="819266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1F712C"/>
    <w:multiLevelType w:val="hybridMultilevel"/>
    <w:tmpl w:val="0E007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75047"/>
    <w:multiLevelType w:val="hybridMultilevel"/>
    <w:tmpl w:val="17EC13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C1E09"/>
    <w:multiLevelType w:val="hybridMultilevel"/>
    <w:tmpl w:val="CFD827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587BDE"/>
    <w:multiLevelType w:val="hybridMultilevel"/>
    <w:tmpl w:val="9E4407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54974"/>
    <w:multiLevelType w:val="hybridMultilevel"/>
    <w:tmpl w:val="4BCE744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85065B"/>
    <w:multiLevelType w:val="hybridMultilevel"/>
    <w:tmpl w:val="FA9E444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442752"/>
    <w:multiLevelType w:val="hybridMultilevel"/>
    <w:tmpl w:val="44DC1B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4970B3"/>
    <w:multiLevelType w:val="hybridMultilevel"/>
    <w:tmpl w:val="A72834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0239BE"/>
    <w:multiLevelType w:val="hybridMultilevel"/>
    <w:tmpl w:val="CD9ED2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A12823"/>
    <w:multiLevelType w:val="hybridMultilevel"/>
    <w:tmpl w:val="85B4EFC4"/>
    <w:lvl w:ilvl="0" w:tplc="5574B41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8F1134"/>
    <w:multiLevelType w:val="hybridMultilevel"/>
    <w:tmpl w:val="3E4EA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13931"/>
    <w:multiLevelType w:val="hybridMultilevel"/>
    <w:tmpl w:val="7FB49688"/>
    <w:lvl w:ilvl="0" w:tplc="9FC82B58">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0700AF"/>
    <w:multiLevelType w:val="hybridMultilevel"/>
    <w:tmpl w:val="C3286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A25E8E"/>
    <w:multiLevelType w:val="hybridMultilevel"/>
    <w:tmpl w:val="7EE48A20"/>
    <w:lvl w:ilvl="0" w:tplc="866C3DEC">
      <w:start w:val="1"/>
      <w:numFmt w:val="decimal"/>
      <w:lvlText w:val="%1."/>
      <w:lvlJc w:val="left"/>
      <w:pPr>
        <w:tabs>
          <w:tab w:val="num" w:pos="465"/>
        </w:tabs>
        <w:ind w:left="465" w:hanging="465"/>
      </w:pPr>
      <w:rPr>
        <w:b w:val="0"/>
        <w:i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15:restartNumberingAfterBreak="0">
    <w:nsid w:val="74DC5FC0"/>
    <w:multiLevelType w:val="hybridMultilevel"/>
    <w:tmpl w:val="455EA9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DF0EAB"/>
    <w:multiLevelType w:val="hybridMultilevel"/>
    <w:tmpl w:val="E652579C"/>
    <w:lvl w:ilvl="0" w:tplc="7DE4136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6"/>
  </w:num>
  <w:num w:numId="3">
    <w:abstractNumId w:val="3"/>
  </w:num>
  <w:num w:numId="4">
    <w:abstractNumId w:val="7"/>
  </w:num>
  <w:num w:numId="5">
    <w:abstractNumId w:val="9"/>
  </w:num>
  <w:num w:numId="6">
    <w:abstractNumId w:val="5"/>
  </w:num>
  <w:num w:numId="7">
    <w:abstractNumId w:val="2"/>
  </w:num>
  <w:num w:numId="8">
    <w:abstractNumId w:val="4"/>
  </w:num>
  <w:num w:numId="9">
    <w:abstractNumId w:val="13"/>
  </w:num>
  <w:num w:numId="10">
    <w:abstractNumId w:val="8"/>
  </w:num>
  <w:num w:numId="11">
    <w:abstractNumId w:val="6"/>
  </w:num>
  <w:num w:numId="12">
    <w:abstractNumId w:val="12"/>
  </w:num>
  <w:num w:numId="13">
    <w:abstractNumId w:val="0"/>
  </w:num>
  <w:num w:numId="14">
    <w:abstractNumId w:val="1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UwMzI3MTc2MzczMzFR0lEKTi0uzszPAykwrAUA2v/dcywAAAA="/>
  </w:docVars>
  <w:rsids>
    <w:rsidRoot w:val="004B7428"/>
    <w:rsid w:val="00001F88"/>
    <w:rsid w:val="00006581"/>
    <w:rsid w:val="000158A8"/>
    <w:rsid w:val="000166DD"/>
    <w:rsid w:val="00026C83"/>
    <w:rsid w:val="00035E43"/>
    <w:rsid w:val="00037EA9"/>
    <w:rsid w:val="00044F66"/>
    <w:rsid w:val="00061093"/>
    <w:rsid w:val="0006251F"/>
    <w:rsid w:val="00067C67"/>
    <w:rsid w:val="000B078D"/>
    <w:rsid w:val="000C18A7"/>
    <w:rsid w:val="000D2B36"/>
    <w:rsid w:val="000F61FE"/>
    <w:rsid w:val="00104A8A"/>
    <w:rsid w:val="001068E9"/>
    <w:rsid w:val="00117428"/>
    <w:rsid w:val="00121F6C"/>
    <w:rsid w:val="0012226D"/>
    <w:rsid w:val="00130902"/>
    <w:rsid w:val="001356DA"/>
    <w:rsid w:val="001448D4"/>
    <w:rsid w:val="00153C6C"/>
    <w:rsid w:val="00154091"/>
    <w:rsid w:val="001620E3"/>
    <w:rsid w:val="00173A77"/>
    <w:rsid w:val="00176ECA"/>
    <w:rsid w:val="0018266A"/>
    <w:rsid w:val="00186663"/>
    <w:rsid w:val="001A0BEE"/>
    <w:rsid w:val="001B0A8E"/>
    <w:rsid w:val="001B7357"/>
    <w:rsid w:val="001D6A56"/>
    <w:rsid w:val="001F715F"/>
    <w:rsid w:val="002071EF"/>
    <w:rsid w:val="002101AC"/>
    <w:rsid w:val="00217153"/>
    <w:rsid w:val="00236245"/>
    <w:rsid w:val="002464FF"/>
    <w:rsid w:val="00283D85"/>
    <w:rsid w:val="00285111"/>
    <w:rsid w:val="002863B6"/>
    <w:rsid w:val="00296739"/>
    <w:rsid w:val="00297A2E"/>
    <w:rsid w:val="002D10D3"/>
    <w:rsid w:val="002D5B51"/>
    <w:rsid w:val="002D6B75"/>
    <w:rsid w:val="002D7B08"/>
    <w:rsid w:val="002E31A2"/>
    <w:rsid w:val="002E49E7"/>
    <w:rsid w:val="002F5336"/>
    <w:rsid w:val="00302934"/>
    <w:rsid w:val="003034D8"/>
    <w:rsid w:val="003034DC"/>
    <w:rsid w:val="0030431E"/>
    <w:rsid w:val="00312084"/>
    <w:rsid w:val="00312BB3"/>
    <w:rsid w:val="00316BC3"/>
    <w:rsid w:val="00386659"/>
    <w:rsid w:val="00392B7E"/>
    <w:rsid w:val="003965AA"/>
    <w:rsid w:val="003978C4"/>
    <w:rsid w:val="003A24A0"/>
    <w:rsid w:val="003A31C3"/>
    <w:rsid w:val="003A3984"/>
    <w:rsid w:val="003B5084"/>
    <w:rsid w:val="003B7D51"/>
    <w:rsid w:val="003C2BC8"/>
    <w:rsid w:val="003C61CD"/>
    <w:rsid w:val="003D2225"/>
    <w:rsid w:val="003D5C50"/>
    <w:rsid w:val="003E3B4C"/>
    <w:rsid w:val="003F3D2F"/>
    <w:rsid w:val="003F6002"/>
    <w:rsid w:val="003F7DBC"/>
    <w:rsid w:val="004067C4"/>
    <w:rsid w:val="0041069A"/>
    <w:rsid w:val="004140CA"/>
    <w:rsid w:val="004143C3"/>
    <w:rsid w:val="00414CAB"/>
    <w:rsid w:val="004276C9"/>
    <w:rsid w:val="0044174C"/>
    <w:rsid w:val="0044229B"/>
    <w:rsid w:val="00444057"/>
    <w:rsid w:val="00444241"/>
    <w:rsid w:val="00465B6C"/>
    <w:rsid w:val="00470B6F"/>
    <w:rsid w:val="004842E8"/>
    <w:rsid w:val="00490CD5"/>
    <w:rsid w:val="004A6FE8"/>
    <w:rsid w:val="004B11EA"/>
    <w:rsid w:val="004B7428"/>
    <w:rsid w:val="004C045D"/>
    <w:rsid w:val="004E22D5"/>
    <w:rsid w:val="004E32A0"/>
    <w:rsid w:val="004E6A02"/>
    <w:rsid w:val="004F0794"/>
    <w:rsid w:val="0050009C"/>
    <w:rsid w:val="00500291"/>
    <w:rsid w:val="00511403"/>
    <w:rsid w:val="00512013"/>
    <w:rsid w:val="00516487"/>
    <w:rsid w:val="0052315F"/>
    <w:rsid w:val="00535FB6"/>
    <w:rsid w:val="0056020D"/>
    <w:rsid w:val="005634CB"/>
    <w:rsid w:val="00570A4A"/>
    <w:rsid w:val="00586DCE"/>
    <w:rsid w:val="00590136"/>
    <w:rsid w:val="005933C9"/>
    <w:rsid w:val="0059527F"/>
    <w:rsid w:val="005A7B8B"/>
    <w:rsid w:val="005C3DF7"/>
    <w:rsid w:val="005D1525"/>
    <w:rsid w:val="005D68B8"/>
    <w:rsid w:val="005E2ECD"/>
    <w:rsid w:val="005F212B"/>
    <w:rsid w:val="00604138"/>
    <w:rsid w:val="00605B7A"/>
    <w:rsid w:val="00611CE5"/>
    <w:rsid w:val="00617742"/>
    <w:rsid w:val="00627320"/>
    <w:rsid w:val="00632103"/>
    <w:rsid w:val="00652DF0"/>
    <w:rsid w:val="0065722E"/>
    <w:rsid w:val="00671CD9"/>
    <w:rsid w:val="00681195"/>
    <w:rsid w:val="00681B10"/>
    <w:rsid w:val="00681F05"/>
    <w:rsid w:val="0068643F"/>
    <w:rsid w:val="00691F3D"/>
    <w:rsid w:val="006922D7"/>
    <w:rsid w:val="00694112"/>
    <w:rsid w:val="006A486D"/>
    <w:rsid w:val="006A5F0A"/>
    <w:rsid w:val="006D2038"/>
    <w:rsid w:val="006D62D4"/>
    <w:rsid w:val="006E1E45"/>
    <w:rsid w:val="006E36FC"/>
    <w:rsid w:val="00705E1C"/>
    <w:rsid w:val="00706DAC"/>
    <w:rsid w:val="00710FD6"/>
    <w:rsid w:val="0073484E"/>
    <w:rsid w:val="0074149F"/>
    <w:rsid w:val="00742067"/>
    <w:rsid w:val="00742CCE"/>
    <w:rsid w:val="0075282D"/>
    <w:rsid w:val="007634FB"/>
    <w:rsid w:val="00780425"/>
    <w:rsid w:val="00781E5C"/>
    <w:rsid w:val="007949F4"/>
    <w:rsid w:val="007A0331"/>
    <w:rsid w:val="007A09CE"/>
    <w:rsid w:val="007A1BFD"/>
    <w:rsid w:val="007B00F4"/>
    <w:rsid w:val="007B0D1A"/>
    <w:rsid w:val="007B1049"/>
    <w:rsid w:val="007B53CE"/>
    <w:rsid w:val="007C1CD6"/>
    <w:rsid w:val="007D201F"/>
    <w:rsid w:val="007E03E3"/>
    <w:rsid w:val="007E3A01"/>
    <w:rsid w:val="007E45A0"/>
    <w:rsid w:val="00800D31"/>
    <w:rsid w:val="0081492E"/>
    <w:rsid w:val="00840361"/>
    <w:rsid w:val="00847079"/>
    <w:rsid w:val="00850A71"/>
    <w:rsid w:val="00883E3F"/>
    <w:rsid w:val="00886B77"/>
    <w:rsid w:val="008907B4"/>
    <w:rsid w:val="00892258"/>
    <w:rsid w:val="00892CD4"/>
    <w:rsid w:val="008A101E"/>
    <w:rsid w:val="008A3E45"/>
    <w:rsid w:val="008B2B58"/>
    <w:rsid w:val="008D1EC6"/>
    <w:rsid w:val="008D2239"/>
    <w:rsid w:val="008E477D"/>
    <w:rsid w:val="008E5491"/>
    <w:rsid w:val="008E63A4"/>
    <w:rsid w:val="008F4490"/>
    <w:rsid w:val="00910368"/>
    <w:rsid w:val="00912021"/>
    <w:rsid w:val="00912D76"/>
    <w:rsid w:val="009336BA"/>
    <w:rsid w:val="009359E9"/>
    <w:rsid w:val="00937B02"/>
    <w:rsid w:val="009445A4"/>
    <w:rsid w:val="00976399"/>
    <w:rsid w:val="00990410"/>
    <w:rsid w:val="00996BE7"/>
    <w:rsid w:val="009A4D13"/>
    <w:rsid w:val="009B6806"/>
    <w:rsid w:val="009C19C5"/>
    <w:rsid w:val="009C76E4"/>
    <w:rsid w:val="009F0248"/>
    <w:rsid w:val="00A156E7"/>
    <w:rsid w:val="00A23793"/>
    <w:rsid w:val="00A43DFB"/>
    <w:rsid w:val="00A47132"/>
    <w:rsid w:val="00A61A15"/>
    <w:rsid w:val="00A732B1"/>
    <w:rsid w:val="00A85085"/>
    <w:rsid w:val="00A85771"/>
    <w:rsid w:val="00A8618A"/>
    <w:rsid w:val="00A87F61"/>
    <w:rsid w:val="00A96277"/>
    <w:rsid w:val="00AA1609"/>
    <w:rsid w:val="00AA1CD5"/>
    <w:rsid w:val="00AA4414"/>
    <w:rsid w:val="00AD5D4B"/>
    <w:rsid w:val="00AE009C"/>
    <w:rsid w:val="00AF6E55"/>
    <w:rsid w:val="00B02716"/>
    <w:rsid w:val="00B1060D"/>
    <w:rsid w:val="00B11B5A"/>
    <w:rsid w:val="00B12E69"/>
    <w:rsid w:val="00B310BE"/>
    <w:rsid w:val="00B368BF"/>
    <w:rsid w:val="00B63D3B"/>
    <w:rsid w:val="00B73003"/>
    <w:rsid w:val="00B7708B"/>
    <w:rsid w:val="00B84D45"/>
    <w:rsid w:val="00BB3E92"/>
    <w:rsid w:val="00BD6DF4"/>
    <w:rsid w:val="00BE450F"/>
    <w:rsid w:val="00C12B80"/>
    <w:rsid w:val="00C134EA"/>
    <w:rsid w:val="00C43809"/>
    <w:rsid w:val="00C55977"/>
    <w:rsid w:val="00C7413B"/>
    <w:rsid w:val="00C8225C"/>
    <w:rsid w:val="00C84FF9"/>
    <w:rsid w:val="00C87FDA"/>
    <w:rsid w:val="00C90794"/>
    <w:rsid w:val="00CA0B43"/>
    <w:rsid w:val="00CC1314"/>
    <w:rsid w:val="00CE155F"/>
    <w:rsid w:val="00CE1879"/>
    <w:rsid w:val="00CE4606"/>
    <w:rsid w:val="00CF5B98"/>
    <w:rsid w:val="00CF733A"/>
    <w:rsid w:val="00D047A1"/>
    <w:rsid w:val="00D134B2"/>
    <w:rsid w:val="00D3394D"/>
    <w:rsid w:val="00D411D1"/>
    <w:rsid w:val="00D50EA4"/>
    <w:rsid w:val="00D53414"/>
    <w:rsid w:val="00D57D39"/>
    <w:rsid w:val="00D600B4"/>
    <w:rsid w:val="00D62067"/>
    <w:rsid w:val="00D65B2F"/>
    <w:rsid w:val="00D67C17"/>
    <w:rsid w:val="00D904C1"/>
    <w:rsid w:val="00DA57E2"/>
    <w:rsid w:val="00DA66A7"/>
    <w:rsid w:val="00DA701F"/>
    <w:rsid w:val="00DB2385"/>
    <w:rsid w:val="00DB7A90"/>
    <w:rsid w:val="00DD04C8"/>
    <w:rsid w:val="00DE07B6"/>
    <w:rsid w:val="00DE0CD4"/>
    <w:rsid w:val="00DE1051"/>
    <w:rsid w:val="00DE48A3"/>
    <w:rsid w:val="00E02397"/>
    <w:rsid w:val="00E04491"/>
    <w:rsid w:val="00E055C0"/>
    <w:rsid w:val="00E06E33"/>
    <w:rsid w:val="00E1380F"/>
    <w:rsid w:val="00E141F9"/>
    <w:rsid w:val="00E24A57"/>
    <w:rsid w:val="00E3570B"/>
    <w:rsid w:val="00E87DC6"/>
    <w:rsid w:val="00E921BE"/>
    <w:rsid w:val="00EA01DD"/>
    <w:rsid w:val="00EA161A"/>
    <w:rsid w:val="00EA45B4"/>
    <w:rsid w:val="00EB144F"/>
    <w:rsid w:val="00EE1856"/>
    <w:rsid w:val="00EE453E"/>
    <w:rsid w:val="00EE7EFA"/>
    <w:rsid w:val="00F23A1F"/>
    <w:rsid w:val="00F314A2"/>
    <w:rsid w:val="00F329F6"/>
    <w:rsid w:val="00F33152"/>
    <w:rsid w:val="00F50A25"/>
    <w:rsid w:val="00F644D1"/>
    <w:rsid w:val="00F812B5"/>
    <w:rsid w:val="00F91B6A"/>
    <w:rsid w:val="00F94C8B"/>
    <w:rsid w:val="00FA2DBC"/>
    <w:rsid w:val="00FA7B3D"/>
    <w:rsid w:val="00FB3A02"/>
    <w:rsid w:val="00FE72B6"/>
    <w:rsid w:val="00FF6AAF"/>
    <w:rsid w:val="00FF7A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4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Name">
    <w:name w:val="Section Name"/>
    <w:next w:val="Normal"/>
    <w:pPr>
      <w:pageBreakBefore/>
      <w:tabs>
        <w:tab w:val="left" w:pos="709"/>
        <w:tab w:val="left" w:pos="1418"/>
        <w:tab w:val="left" w:pos="2126"/>
        <w:tab w:val="left" w:pos="2835"/>
        <w:tab w:val="left" w:pos="3544"/>
        <w:tab w:val="left" w:pos="4253"/>
        <w:tab w:val="left" w:pos="4961"/>
      </w:tabs>
    </w:pPr>
    <w:rPr>
      <w:rFonts w:ascii="Times New Roman" w:eastAsia="PMingLiU" w:hAnsi="Times New Roman" w:cs="Times New Roman"/>
      <w:b/>
      <w:caps/>
      <w:noProof/>
      <w:kern w:val="0"/>
      <w:sz w:val="32"/>
      <w:szCs w:val="20"/>
    </w:rPr>
  </w:style>
  <w:style w:type="paragraph" w:styleId="BalloonText">
    <w:name w:val="Balloon Text"/>
    <w:basedOn w:val="Normal"/>
    <w:link w:val="BalloonTextChar"/>
    <w:uiPriority w:val="99"/>
    <w:semiHidden/>
    <w:unhideWhenUse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Pr>
      <w:rFonts w:asciiTheme="majorHAnsi" w:eastAsiaTheme="majorEastAsia" w:hAnsiTheme="majorHAnsi" w:cstheme="majorBidi"/>
      <w:sz w:val="18"/>
      <w:szCs w:val="18"/>
    </w:rPr>
  </w:style>
  <w:style w:type="paragraph" w:styleId="Header">
    <w:name w:val="header"/>
    <w:basedOn w:val="Normal"/>
    <w:link w:val="HeaderChar"/>
    <w:uiPriority w:val="99"/>
    <w:unhideWhenUse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Pr>
      <w:sz w:val="20"/>
      <w:szCs w:val="20"/>
    </w:rPr>
  </w:style>
  <w:style w:type="paragraph" w:styleId="Footer">
    <w:name w:val="footer"/>
    <w:basedOn w:val="Normal"/>
    <w:link w:val="FooterChar"/>
    <w:uiPriority w:val="99"/>
    <w:unhideWhenUse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Pr>
      <w:sz w:val="20"/>
      <w:szCs w:val="20"/>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AF6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0757">
      <w:bodyDiv w:val="1"/>
      <w:marLeft w:val="0"/>
      <w:marRight w:val="0"/>
      <w:marTop w:val="0"/>
      <w:marBottom w:val="0"/>
      <w:divBdr>
        <w:top w:val="none" w:sz="0" w:space="0" w:color="auto"/>
        <w:left w:val="none" w:sz="0" w:space="0" w:color="auto"/>
        <w:bottom w:val="none" w:sz="0" w:space="0" w:color="auto"/>
        <w:right w:val="none" w:sz="0" w:space="0" w:color="auto"/>
      </w:divBdr>
    </w:div>
    <w:div w:id="854538807">
      <w:bodyDiv w:val="1"/>
      <w:marLeft w:val="0"/>
      <w:marRight w:val="0"/>
      <w:marTop w:val="0"/>
      <w:marBottom w:val="0"/>
      <w:divBdr>
        <w:top w:val="none" w:sz="0" w:space="0" w:color="auto"/>
        <w:left w:val="none" w:sz="0" w:space="0" w:color="auto"/>
        <w:bottom w:val="none" w:sz="0" w:space="0" w:color="auto"/>
        <w:right w:val="none" w:sz="0" w:space="0" w:color="auto"/>
      </w:divBdr>
    </w:div>
    <w:div w:id="197140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567DA-1132-4E5E-93CF-23380CA5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2015-03-25T10:16:00Z</cp:lastPrinted>
  <dcterms:created xsi:type="dcterms:W3CDTF">2020-02-11T03:20:00Z</dcterms:created>
  <dcterms:modified xsi:type="dcterms:W3CDTF">2020-02-11T03:26:00Z</dcterms:modified>
</cp:coreProperties>
</file>