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AB1283" w:rsidP="00AB1283">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29</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Pr>
                <w:rFonts w:ascii="微軟正黑體" w:eastAsia="微軟正黑體" w:hAnsi="微軟正黑體" w:hint="eastAsia"/>
                <w:sz w:val="22"/>
                <w:lang w:val="en-GB"/>
              </w:rPr>
              <w:t>2</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AB1283">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AB1283">
              <w:rPr>
                <w:rFonts w:ascii="微軟正黑體" w:eastAsia="微軟正黑體" w:hAnsi="微軟正黑體" w:hint="eastAsia"/>
                <w:sz w:val="22"/>
                <w:lang w:val="en-GB"/>
              </w:rPr>
              <w:t>三</w:t>
            </w:r>
            <w:r w:rsidR="006572B2">
              <w:rPr>
                <w:rFonts w:ascii="微軟正黑體" w:eastAsia="微軟正黑體" w:hAnsi="微軟正黑體" w:hint="eastAsia"/>
                <w:sz w:val="22"/>
                <w:lang w:val="en-GB"/>
              </w:rPr>
              <w:t>月</w:t>
            </w:r>
            <w:r w:rsidR="00AB1283">
              <w:rPr>
                <w:rFonts w:ascii="微軟正黑體" w:eastAsia="微軟正黑體" w:hAnsi="微軟正黑體" w:hint="eastAsia"/>
                <w:sz w:val="22"/>
                <w:lang w:val="en-GB"/>
              </w:rPr>
              <w:t>二</w:t>
            </w:r>
            <w:bookmarkStart w:id="0" w:name="_GoBack"/>
            <w:bookmarkEnd w:id="0"/>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1C5C6C"/>
    <w:rsid w:val="00201B26"/>
    <w:rsid w:val="00216BEA"/>
    <w:rsid w:val="002524E6"/>
    <w:rsid w:val="00254EE1"/>
    <w:rsid w:val="00267239"/>
    <w:rsid w:val="002B6F38"/>
    <w:rsid w:val="002B7F4B"/>
    <w:rsid w:val="002C55A0"/>
    <w:rsid w:val="002D109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F677E-05BC-4124-A3D7-E2C99A47A29E}">
  <ds:schemaRefs>
    <ds:schemaRef ds:uri="http://schemas.microsoft.com/office/2006/metadata/properties"/>
    <ds:schemaRef ds:uri="http://www.w3.org/XML/1998/namespace"/>
    <ds:schemaRef ds:uri="http://schemas.microsoft.com/office/2006/documentManagement/types"/>
    <ds:schemaRef ds:uri="http://schemas.microsoft.com/sharepoint/v3"/>
    <ds:schemaRef ds:uri="http://purl.org/dc/terms/"/>
    <ds:schemaRef ds:uri="http://purl.org/dc/dcmitype/"/>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50B916E6-654D-4CB6-812D-9A6255F6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2884</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3</cp:revision>
  <cp:lastPrinted>2019-08-30T09:11:00Z</cp:lastPrinted>
  <dcterms:created xsi:type="dcterms:W3CDTF">2020-03-02T01:54:00Z</dcterms:created>
  <dcterms:modified xsi:type="dcterms:W3CDTF">2020-03-02T01:56:00Z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