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3A2D" w14:textId="77777777" w:rsidR="005C33D9" w:rsidRPr="00AA0AD7" w:rsidRDefault="00C2479F" w:rsidP="00582287">
      <w:pPr>
        <w:ind w:rightChars="-9" w:right="-22"/>
        <w:jc w:val="both"/>
        <w:rPr>
          <w:i/>
          <w:iCs/>
          <w:sz w:val="20"/>
          <w:szCs w:val="20"/>
        </w:rPr>
      </w:pPr>
      <w:bookmarkStart w:id="0" w:name="_GoBack"/>
      <w:bookmarkEnd w:id="0"/>
      <w:r w:rsidRPr="00AA0AD7">
        <w:rPr>
          <w:i/>
          <w:iCs/>
          <w:sz w:val="20"/>
          <w:szCs w:val="20"/>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6FAE282F" w14:textId="77777777" w:rsidR="008D1DA8" w:rsidRDefault="008D1DA8" w:rsidP="00582287">
      <w:pPr>
        <w:ind w:rightChars="-9" w:right="-22"/>
        <w:jc w:val="both"/>
        <w:rPr>
          <w:i/>
          <w:iCs/>
        </w:rPr>
      </w:pPr>
    </w:p>
    <w:p w14:paraId="074896A7" w14:textId="77777777" w:rsidR="009251C2" w:rsidRPr="00D71DFA" w:rsidRDefault="009251C2" w:rsidP="00582287">
      <w:pPr>
        <w:ind w:rightChars="-9" w:right="-22"/>
        <w:jc w:val="both"/>
        <w:rPr>
          <w:i/>
          <w:iCs/>
        </w:rPr>
      </w:pPr>
    </w:p>
    <w:p w14:paraId="06C836A6" w14:textId="300DBECC" w:rsidR="00C2479F" w:rsidRPr="00D71DFA" w:rsidRDefault="00B22401" w:rsidP="00582287">
      <w:pPr>
        <w:ind w:rightChars="-9" w:right="-22"/>
        <w:jc w:val="center"/>
      </w:pPr>
      <w:r>
        <w:rPr>
          <w:noProof/>
          <w:lang w:val="en-GB"/>
        </w:rPr>
        <w:drawing>
          <wp:inline distT="0" distB="0" distL="0" distR="0" wp14:anchorId="1A5D6BBB" wp14:editId="0CFAB3B0">
            <wp:extent cx="3267710" cy="4533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710" cy="453390"/>
                    </a:xfrm>
                    <a:prstGeom prst="rect">
                      <a:avLst/>
                    </a:prstGeom>
                    <a:noFill/>
                    <a:ln>
                      <a:noFill/>
                    </a:ln>
                  </pic:spPr>
                </pic:pic>
              </a:graphicData>
            </a:graphic>
          </wp:inline>
        </w:drawing>
      </w:r>
    </w:p>
    <w:p w14:paraId="49E537B3" w14:textId="77777777" w:rsidR="00C2479F" w:rsidRPr="00D71DFA" w:rsidRDefault="00C2479F" w:rsidP="00582287">
      <w:pPr>
        <w:pStyle w:val="Default"/>
        <w:ind w:rightChars="-9" w:right="-22"/>
      </w:pPr>
    </w:p>
    <w:p w14:paraId="7996AD1C" w14:textId="77777777" w:rsidR="00C2479F" w:rsidRPr="00D71DFA" w:rsidRDefault="00C2479F" w:rsidP="00582287">
      <w:pPr>
        <w:pStyle w:val="Default"/>
        <w:ind w:rightChars="-9" w:right="-22"/>
        <w:jc w:val="center"/>
        <w:rPr>
          <w:sz w:val="40"/>
          <w:szCs w:val="40"/>
        </w:rPr>
      </w:pPr>
      <w:r w:rsidRPr="00D71DFA">
        <w:rPr>
          <w:b/>
          <w:bCs/>
          <w:sz w:val="40"/>
          <w:szCs w:val="40"/>
        </w:rPr>
        <w:t>TIANHE CHEMICALS GROUP LIMITED</w:t>
      </w:r>
    </w:p>
    <w:p w14:paraId="247BF845" w14:textId="77777777" w:rsidR="00C2479F" w:rsidRPr="003848DC" w:rsidRDefault="00FE78C7" w:rsidP="00582287">
      <w:pPr>
        <w:pStyle w:val="Default"/>
        <w:ind w:rightChars="-9" w:right="-22"/>
        <w:jc w:val="center"/>
        <w:rPr>
          <w:rFonts w:ascii="SimSun" w:hAnsi="SimSun" w:cs="..e....."/>
          <w:sz w:val="40"/>
          <w:szCs w:val="40"/>
        </w:rPr>
      </w:pPr>
      <w:r w:rsidRPr="003848DC">
        <w:rPr>
          <w:rFonts w:ascii="SimSun" w:hAnsi="SimSun" w:cs="..e....." w:hint="eastAsia"/>
          <w:sz w:val="40"/>
          <w:szCs w:val="40"/>
          <w:lang w:eastAsia="zh-TW"/>
        </w:rPr>
        <w:t>天</w:t>
      </w:r>
      <w:r w:rsidR="00C2479F" w:rsidRPr="003848DC">
        <w:rPr>
          <w:rFonts w:ascii="SimSun" w:hAnsi="SimSun" w:cs="..e....."/>
          <w:sz w:val="40"/>
          <w:szCs w:val="40"/>
          <w:lang w:eastAsia="zh-TW"/>
        </w:rPr>
        <w:t>合化工集團有限公司</w:t>
      </w:r>
    </w:p>
    <w:p w14:paraId="42F03486" w14:textId="77777777" w:rsidR="00C2479F" w:rsidRPr="00D71DFA" w:rsidRDefault="00C2479F" w:rsidP="00582287">
      <w:pPr>
        <w:pStyle w:val="Default"/>
        <w:ind w:rightChars="-9" w:right="-22"/>
        <w:jc w:val="center"/>
        <w:rPr>
          <w:rFonts w:eastAsia="..e....."/>
          <w:sz w:val="22"/>
          <w:szCs w:val="22"/>
        </w:rPr>
      </w:pPr>
      <w:r w:rsidRPr="00D71DFA">
        <w:rPr>
          <w:rFonts w:eastAsia="..e....."/>
          <w:i/>
          <w:iCs/>
          <w:sz w:val="22"/>
          <w:szCs w:val="22"/>
        </w:rPr>
        <w:t xml:space="preserve">(Incorporated in the </w:t>
      </w:r>
      <w:smartTag w:uri="urn:schemas-microsoft-com:office:smarttags" w:element="place">
        <w:r w:rsidRPr="00D71DFA">
          <w:rPr>
            <w:rFonts w:eastAsia="..e....."/>
            <w:i/>
            <w:iCs/>
            <w:sz w:val="22"/>
            <w:szCs w:val="22"/>
          </w:rPr>
          <w:t>British Virgin Islands</w:t>
        </w:r>
      </w:smartTag>
      <w:r w:rsidRPr="00D71DFA">
        <w:rPr>
          <w:rFonts w:eastAsia="..e....."/>
          <w:i/>
          <w:iCs/>
          <w:sz w:val="22"/>
          <w:szCs w:val="22"/>
        </w:rPr>
        <w:t xml:space="preserve"> with limited liability)</w:t>
      </w:r>
    </w:p>
    <w:p w14:paraId="0C9890C6" w14:textId="4355D6AA" w:rsidR="00C2479F" w:rsidRPr="00C6216D" w:rsidRDefault="00C2479F" w:rsidP="00582287">
      <w:pPr>
        <w:ind w:rightChars="-9" w:right="-22"/>
        <w:jc w:val="center"/>
        <w:rPr>
          <w:rFonts w:eastAsia="..e....."/>
          <w:sz w:val="22"/>
          <w:szCs w:val="22"/>
        </w:rPr>
      </w:pPr>
      <w:r w:rsidRPr="00D71DFA">
        <w:rPr>
          <w:rFonts w:eastAsia="..e....."/>
          <w:sz w:val="22"/>
          <w:szCs w:val="22"/>
        </w:rPr>
        <w:t>(Stock Code: 1619)</w:t>
      </w:r>
    </w:p>
    <w:p w14:paraId="53F6B0FA" w14:textId="1AC431A5" w:rsidR="009251C2" w:rsidRDefault="009251C2" w:rsidP="00582287">
      <w:pPr>
        <w:ind w:rightChars="-9" w:right="-22"/>
        <w:jc w:val="center"/>
        <w:rPr>
          <w:sz w:val="22"/>
          <w:szCs w:val="22"/>
        </w:rPr>
      </w:pPr>
    </w:p>
    <w:p w14:paraId="73B13AB7" w14:textId="3CF7F86A" w:rsidR="00C6216D" w:rsidRPr="000E41AC" w:rsidRDefault="00C6216D" w:rsidP="00166D46">
      <w:pPr>
        <w:ind w:rightChars="-9" w:right="-22"/>
        <w:jc w:val="center"/>
        <w:rPr>
          <w:sz w:val="22"/>
          <w:szCs w:val="22"/>
        </w:rPr>
      </w:pPr>
    </w:p>
    <w:p w14:paraId="469BE8D1" w14:textId="2A49D8C1" w:rsidR="00166D46" w:rsidRDefault="00AF6BDE" w:rsidP="002E5194">
      <w:pPr>
        <w:pStyle w:val="ListParagraph"/>
        <w:ind w:left="0" w:rightChars="-9" w:right="-22"/>
        <w:jc w:val="center"/>
        <w:rPr>
          <w:b/>
          <w:sz w:val="28"/>
          <w:szCs w:val="28"/>
        </w:rPr>
      </w:pPr>
      <w:r>
        <w:rPr>
          <w:b/>
          <w:sz w:val="28"/>
          <w:szCs w:val="28"/>
        </w:rPr>
        <w:t>RESIGNATION OF</w:t>
      </w:r>
    </w:p>
    <w:p w14:paraId="66F8D66F" w14:textId="44C1A0B7" w:rsidR="00AF6BDE" w:rsidRDefault="00166D46" w:rsidP="00166D46">
      <w:pPr>
        <w:pStyle w:val="ListParagraph"/>
        <w:ind w:left="0" w:rightChars="-9" w:right="-22"/>
        <w:jc w:val="center"/>
        <w:rPr>
          <w:b/>
          <w:sz w:val="28"/>
          <w:szCs w:val="28"/>
        </w:rPr>
      </w:pPr>
      <w:r>
        <w:rPr>
          <w:b/>
          <w:sz w:val="28"/>
          <w:szCs w:val="28"/>
        </w:rPr>
        <w:t xml:space="preserve">INDEPENDENT </w:t>
      </w:r>
      <w:r w:rsidR="00AF6BDE">
        <w:rPr>
          <w:b/>
          <w:sz w:val="28"/>
          <w:szCs w:val="28"/>
        </w:rPr>
        <w:t>NON-EXECUTIVE DIRECTOR</w:t>
      </w:r>
      <w:r w:rsidR="00667109">
        <w:rPr>
          <w:b/>
          <w:sz w:val="28"/>
          <w:szCs w:val="28"/>
        </w:rPr>
        <w:t>S</w:t>
      </w:r>
    </w:p>
    <w:p w14:paraId="41642D18" w14:textId="77777777" w:rsidR="00CB5751" w:rsidRDefault="00CB5751" w:rsidP="00CB5751">
      <w:pPr>
        <w:pStyle w:val="ListParagraph"/>
        <w:ind w:left="0" w:rightChars="-9" w:right="-22"/>
        <w:jc w:val="center"/>
        <w:rPr>
          <w:b/>
          <w:sz w:val="28"/>
          <w:szCs w:val="28"/>
        </w:rPr>
      </w:pPr>
      <w:r>
        <w:rPr>
          <w:b/>
          <w:sz w:val="28"/>
          <w:szCs w:val="28"/>
        </w:rPr>
        <w:t>AND</w:t>
      </w:r>
    </w:p>
    <w:p w14:paraId="3B533560" w14:textId="340684D5" w:rsidR="00CB5751" w:rsidRPr="00257D84" w:rsidRDefault="00CB5751" w:rsidP="00CB5751">
      <w:pPr>
        <w:pStyle w:val="ListParagraph"/>
        <w:ind w:left="0" w:rightChars="-9" w:right="-22"/>
        <w:jc w:val="center"/>
        <w:rPr>
          <w:b/>
          <w:sz w:val="28"/>
          <w:szCs w:val="28"/>
        </w:rPr>
      </w:pPr>
      <w:r>
        <w:rPr>
          <w:b/>
          <w:sz w:val="28"/>
          <w:szCs w:val="28"/>
        </w:rPr>
        <w:t>CHANGE IN COMPOSITION OF BOARD COMMITTEES</w:t>
      </w:r>
    </w:p>
    <w:p w14:paraId="690E06F5" w14:textId="77777777" w:rsidR="001C1932" w:rsidRDefault="001C1932" w:rsidP="00166D46">
      <w:pPr>
        <w:ind w:rightChars="-9" w:right="-22"/>
        <w:jc w:val="both"/>
        <w:rPr>
          <w:b/>
        </w:rPr>
      </w:pPr>
    </w:p>
    <w:p w14:paraId="75F69D2A" w14:textId="3932345D" w:rsidR="00D44376" w:rsidRDefault="00D44376" w:rsidP="00582287">
      <w:pPr>
        <w:ind w:rightChars="-9" w:right="-22"/>
        <w:jc w:val="both"/>
        <w:rPr>
          <w:bCs/>
        </w:rPr>
      </w:pPr>
    </w:p>
    <w:p w14:paraId="560F9BF1" w14:textId="77777777" w:rsidR="009D7F20" w:rsidRDefault="009D7F20" w:rsidP="00582287">
      <w:pPr>
        <w:ind w:rightChars="-9" w:right="-22"/>
        <w:jc w:val="both"/>
        <w:rPr>
          <w:bCs/>
        </w:rPr>
      </w:pPr>
    </w:p>
    <w:p w14:paraId="7CAB9A12" w14:textId="23EF2D69" w:rsidR="00DF6864" w:rsidRPr="000D73BD" w:rsidRDefault="00DF6864" w:rsidP="00582287">
      <w:pPr>
        <w:snapToGrid w:val="0"/>
        <w:ind w:rightChars="-9" w:right="-22"/>
        <w:jc w:val="both"/>
        <w:rPr>
          <w:spacing w:val="3"/>
        </w:rPr>
      </w:pPr>
      <w:r w:rsidRPr="000D73BD">
        <w:rPr>
          <w:spacing w:val="3"/>
        </w:rPr>
        <w:t>This announcement is made by Tianhe Chemicals Group Limited (the “</w:t>
      </w:r>
      <w:r w:rsidRPr="000D73BD">
        <w:rPr>
          <w:b/>
          <w:spacing w:val="3"/>
        </w:rPr>
        <w:t>Company</w:t>
      </w:r>
      <w:r w:rsidRPr="000D73BD">
        <w:rPr>
          <w:spacing w:val="3"/>
        </w:rPr>
        <w:t xml:space="preserve">”) pursuant to Rule </w:t>
      </w:r>
      <w:r w:rsidR="00AF6BDE">
        <w:rPr>
          <w:spacing w:val="3"/>
        </w:rPr>
        <w:t>13.51(2)</w:t>
      </w:r>
      <w:r w:rsidRPr="000D73BD">
        <w:rPr>
          <w:spacing w:val="3"/>
        </w:rPr>
        <w:t xml:space="preserve"> of the</w:t>
      </w:r>
      <w:r w:rsidRPr="000D73BD">
        <w:rPr>
          <w:rFonts w:hint="eastAsia"/>
          <w:spacing w:val="3"/>
        </w:rPr>
        <w:t xml:space="preserve"> </w:t>
      </w:r>
      <w:r w:rsidRPr="000D73BD">
        <w:rPr>
          <w:spacing w:val="3"/>
        </w:rPr>
        <w:t>Rules Governing the Listing of Securities (the “</w:t>
      </w:r>
      <w:r w:rsidRPr="000D73BD">
        <w:rPr>
          <w:b/>
          <w:spacing w:val="3"/>
        </w:rPr>
        <w:t>Listing Rules</w:t>
      </w:r>
      <w:r w:rsidRPr="000D73BD">
        <w:rPr>
          <w:spacing w:val="3"/>
        </w:rPr>
        <w:t>”) on The Stock Exchange of</w:t>
      </w:r>
      <w:r w:rsidRPr="000D73BD">
        <w:rPr>
          <w:rFonts w:hint="eastAsia"/>
          <w:spacing w:val="3"/>
        </w:rPr>
        <w:t xml:space="preserve"> </w:t>
      </w:r>
      <w:r w:rsidRPr="000D73BD">
        <w:rPr>
          <w:spacing w:val="3"/>
        </w:rPr>
        <w:t>Hong Kong Limited.</w:t>
      </w:r>
    </w:p>
    <w:p w14:paraId="5EC8E330" w14:textId="5BE0DA1E" w:rsidR="009E3A7D" w:rsidRPr="000E41AC" w:rsidRDefault="009E3A7D" w:rsidP="00582287">
      <w:pPr>
        <w:ind w:rightChars="-9" w:right="-22"/>
        <w:jc w:val="both"/>
        <w:rPr>
          <w:bCs/>
        </w:rPr>
      </w:pPr>
    </w:p>
    <w:p w14:paraId="77C401D9" w14:textId="62684E14" w:rsidR="009D7F20" w:rsidRDefault="00AF6BDE" w:rsidP="00582287">
      <w:pPr>
        <w:pStyle w:val="ListParagraph"/>
        <w:tabs>
          <w:tab w:val="left" w:pos="1279"/>
        </w:tabs>
        <w:ind w:left="0" w:rightChars="-9" w:right="-22"/>
        <w:jc w:val="both"/>
        <w:rPr>
          <w:rFonts w:eastAsiaTheme="minorEastAsia"/>
          <w:bCs/>
        </w:rPr>
      </w:pPr>
      <w:r>
        <w:rPr>
          <w:rFonts w:eastAsiaTheme="minorEastAsia"/>
          <w:bCs/>
        </w:rPr>
        <w:t>The board of directors (the “</w:t>
      </w:r>
      <w:r w:rsidRPr="003E3398">
        <w:rPr>
          <w:rFonts w:eastAsiaTheme="minorEastAsia"/>
          <w:b/>
        </w:rPr>
        <w:t>Board</w:t>
      </w:r>
      <w:r>
        <w:rPr>
          <w:rFonts w:eastAsiaTheme="minorEastAsia"/>
          <w:bCs/>
        </w:rPr>
        <w:t xml:space="preserve">”) of the Company announces that, Mr. </w:t>
      </w:r>
      <w:r w:rsidR="000612B1">
        <w:rPr>
          <w:rFonts w:eastAsiaTheme="minorEastAsia"/>
          <w:bCs/>
        </w:rPr>
        <w:t xml:space="preserve">Xu </w:t>
      </w:r>
      <w:proofErr w:type="spellStart"/>
      <w:r w:rsidR="000612B1">
        <w:rPr>
          <w:rFonts w:eastAsiaTheme="minorEastAsia"/>
          <w:bCs/>
        </w:rPr>
        <w:t>Xiaodong</w:t>
      </w:r>
      <w:proofErr w:type="spellEnd"/>
      <w:r w:rsidR="000612B1">
        <w:rPr>
          <w:rFonts w:eastAsiaTheme="minorEastAsia"/>
          <w:bCs/>
        </w:rPr>
        <w:t xml:space="preserve"> </w:t>
      </w:r>
      <w:r w:rsidR="00257D84">
        <w:rPr>
          <w:rFonts w:eastAsiaTheme="minorEastAsia"/>
          <w:bCs/>
        </w:rPr>
        <w:t>(“</w:t>
      </w:r>
      <w:r w:rsidR="00257D84" w:rsidRPr="00257D84">
        <w:rPr>
          <w:rFonts w:eastAsiaTheme="minorEastAsia"/>
          <w:b/>
        </w:rPr>
        <w:t>Mr.</w:t>
      </w:r>
      <w:r w:rsidR="00257D84">
        <w:rPr>
          <w:rFonts w:eastAsiaTheme="minorEastAsia"/>
          <w:bCs/>
        </w:rPr>
        <w:t xml:space="preserve"> </w:t>
      </w:r>
      <w:r w:rsidR="000612B1">
        <w:rPr>
          <w:rFonts w:eastAsiaTheme="minorEastAsia"/>
          <w:b/>
        </w:rPr>
        <w:t>Xu</w:t>
      </w:r>
      <w:r w:rsidR="00257D84">
        <w:rPr>
          <w:rFonts w:eastAsiaTheme="minorEastAsia"/>
          <w:bCs/>
        </w:rPr>
        <w:t>”)</w:t>
      </w:r>
      <w:r>
        <w:rPr>
          <w:rFonts w:eastAsiaTheme="minorEastAsia"/>
          <w:bCs/>
        </w:rPr>
        <w:t xml:space="preserve"> has </w:t>
      </w:r>
      <w:r w:rsidR="00257D84">
        <w:rPr>
          <w:rFonts w:eastAsiaTheme="minorEastAsia"/>
          <w:bCs/>
        </w:rPr>
        <w:t>tendered his resignation</w:t>
      </w:r>
      <w:r>
        <w:rPr>
          <w:rFonts w:eastAsiaTheme="minorEastAsia"/>
          <w:bCs/>
        </w:rPr>
        <w:t xml:space="preserve"> as </w:t>
      </w:r>
      <w:r w:rsidR="00257D84">
        <w:rPr>
          <w:rFonts w:eastAsiaTheme="minorEastAsia"/>
          <w:bCs/>
        </w:rPr>
        <w:t>a</w:t>
      </w:r>
      <w:r w:rsidR="00166D46">
        <w:rPr>
          <w:rFonts w:eastAsiaTheme="minorEastAsia"/>
          <w:bCs/>
        </w:rPr>
        <w:t>n</w:t>
      </w:r>
      <w:r w:rsidR="00257D84">
        <w:rPr>
          <w:rFonts w:eastAsiaTheme="minorEastAsia"/>
          <w:bCs/>
        </w:rPr>
        <w:t xml:space="preserve"> </w:t>
      </w:r>
      <w:r w:rsidR="00166D46">
        <w:rPr>
          <w:rFonts w:eastAsiaTheme="minorEastAsia"/>
          <w:bCs/>
        </w:rPr>
        <w:t xml:space="preserve">independent </w:t>
      </w:r>
      <w:r>
        <w:rPr>
          <w:rFonts w:eastAsiaTheme="minorEastAsia"/>
          <w:bCs/>
        </w:rPr>
        <w:t>non-executive director</w:t>
      </w:r>
      <w:r w:rsidR="00257D84">
        <w:rPr>
          <w:rFonts w:eastAsiaTheme="minorEastAsia"/>
          <w:bCs/>
        </w:rPr>
        <w:t xml:space="preserve"> of the Company</w:t>
      </w:r>
      <w:r w:rsidR="00166D46">
        <w:rPr>
          <w:rFonts w:eastAsiaTheme="minorEastAsia"/>
          <w:bCs/>
        </w:rPr>
        <w:t xml:space="preserve"> and cease</w:t>
      </w:r>
      <w:r w:rsidR="00121009">
        <w:rPr>
          <w:rFonts w:eastAsiaTheme="minorEastAsia"/>
          <w:bCs/>
        </w:rPr>
        <w:t>d</w:t>
      </w:r>
      <w:r w:rsidR="00166D46">
        <w:rPr>
          <w:rFonts w:eastAsiaTheme="minorEastAsia"/>
          <w:bCs/>
        </w:rPr>
        <w:t xml:space="preserve"> to act as the Chairman of the </w:t>
      </w:r>
      <w:r w:rsidR="000612B1">
        <w:rPr>
          <w:rFonts w:eastAsiaTheme="minorEastAsia"/>
          <w:bCs/>
        </w:rPr>
        <w:t xml:space="preserve">Remuneration </w:t>
      </w:r>
      <w:r w:rsidR="00166D46">
        <w:rPr>
          <w:rFonts w:eastAsiaTheme="minorEastAsia"/>
          <w:bCs/>
        </w:rPr>
        <w:t xml:space="preserve">Committee and </w:t>
      </w:r>
      <w:r w:rsidR="007B4B8E">
        <w:rPr>
          <w:rFonts w:eastAsiaTheme="minorEastAsia"/>
          <w:bCs/>
        </w:rPr>
        <w:t>a</w:t>
      </w:r>
      <w:r w:rsidR="00166D46">
        <w:rPr>
          <w:rFonts w:eastAsiaTheme="minorEastAsia"/>
          <w:bCs/>
        </w:rPr>
        <w:t xml:space="preserve"> member of the </w:t>
      </w:r>
      <w:r w:rsidR="000612B1">
        <w:rPr>
          <w:rFonts w:eastAsiaTheme="minorEastAsia"/>
          <w:bCs/>
        </w:rPr>
        <w:t xml:space="preserve">Audit Committee, Nomination Committee and </w:t>
      </w:r>
      <w:r w:rsidR="00166D46">
        <w:rPr>
          <w:rFonts w:eastAsiaTheme="minorEastAsia"/>
          <w:bCs/>
        </w:rPr>
        <w:t>Resumption Committee of the Board,</w:t>
      </w:r>
      <w:r w:rsidR="00257D84">
        <w:rPr>
          <w:rFonts w:eastAsiaTheme="minorEastAsia"/>
          <w:bCs/>
        </w:rPr>
        <w:t xml:space="preserve"> </w:t>
      </w:r>
      <w:r w:rsidR="00023BBC">
        <w:rPr>
          <w:rFonts w:eastAsiaTheme="minorEastAsia" w:hint="eastAsia"/>
          <w:bCs/>
        </w:rPr>
        <w:t xml:space="preserve">with effect from </w:t>
      </w:r>
      <w:r w:rsidR="000612B1">
        <w:rPr>
          <w:rFonts w:eastAsiaTheme="minorEastAsia"/>
          <w:bCs/>
        </w:rPr>
        <w:t>3</w:t>
      </w:r>
      <w:r w:rsidR="00166D46">
        <w:rPr>
          <w:rFonts w:eastAsiaTheme="minorEastAsia"/>
          <w:bCs/>
        </w:rPr>
        <w:t>1</w:t>
      </w:r>
      <w:r w:rsidR="00023BBC">
        <w:rPr>
          <w:rFonts w:eastAsiaTheme="minorEastAsia" w:hint="eastAsia"/>
          <w:bCs/>
        </w:rPr>
        <w:t xml:space="preserve"> </w:t>
      </w:r>
      <w:r w:rsidR="000612B1">
        <w:rPr>
          <w:rFonts w:eastAsiaTheme="minorEastAsia"/>
          <w:bCs/>
        </w:rPr>
        <w:t>May</w:t>
      </w:r>
      <w:r w:rsidR="000612B1">
        <w:rPr>
          <w:rFonts w:eastAsiaTheme="minorEastAsia" w:hint="eastAsia"/>
          <w:bCs/>
        </w:rPr>
        <w:t xml:space="preserve"> </w:t>
      </w:r>
      <w:r w:rsidR="00023BBC">
        <w:rPr>
          <w:rFonts w:eastAsiaTheme="minorEastAsia" w:hint="eastAsia"/>
          <w:bCs/>
        </w:rPr>
        <w:t>20</w:t>
      </w:r>
      <w:r w:rsidR="000612B1">
        <w:rPr>
          <w:rFonts w:eastAsiaTheme="minorEastAsia"/>
          <w:bCs/>
        </w:rPr>
        <w:t>20</w:t>
      </w:r>
      <w:r w:rsidR="00166D46">
        <w:rPr>
          <w:rFonts w:eastAsiaTheme="minorEastAsia"/>
          <w:bCs/>
        </w:rPr>
        <w:t xml:space="preserve">, </w:t>
      </w:r>
      <w:r w:rsidR="00821706">
        <w:rPr>
          <w:rFonts w:eastAsiaTheme="minorEastAsia" w:hint="eastAsia"/>
          <w:bCs/>
        </w:rPr>
        <w:t>due</w:t>
      </w:r>
      <w:r w:rsidR="00821706">
        <w:rPr>
          <w:rFonts w:eastAsiaTheme="minorEastAsia"/>
          <w:bCs/>
        </w:rPr>
        <w:t xml:space="preserve"> to his </w:t>
      </w:r>
      <w:r w:rsidR="00F44281">
        <w:rPr>
          <w:rFonts w:eastAsiaTheme="minorEastAsia"/>
          <w:bCs/>
        </w:rPr>
        <w:t xml:space="preserve">health </w:t>
      </w:r>
      <w:r w:rsidR="00796C12">
        <w:rPr>
          <w:rFonts w:eastAsiaTheme="minorEastAsia"/>
          <w:bCs/>
        </w:rPr>
        <w:t>reasons</w:t>
      </w:r>
      <w:r>
        <w:rPr>
          <w:rFonts w:eastAsiaTheme="minorEastAsia"/>
          <w:bCs/>
        </w:rPr>
        <w:t xml:space="preserve">. </w:t>
      </w:r>
      <w:r w:rsidR="00821706">
        <w:rPr>
          <w:rFonts w:eastAsiaTheme="minorEastAsia"/>
          <w:bCs/>
        </w:rPr>
        <w:t xml:space="preserve"> </w:t>
      </w:r>
    </w:p>
    <w:p w14:paraId="0259FC8D" w14:textId="77777777" w:rsidR="00C82D30" w:rsidRDefault="00C82D30" w:rsidP="00582287">
      <w:pPr>
        <w:pStyle w:val="ListParagraph"/>
        <w:tabs>
          <w:tab w:val="left" w:pos="1279"/>
        </w:tabs>
        <w:ind w:left="0" w:rightChars="-9" w:right="-22"/>
        <w:jc w:val="both"/>
        <w:rPr>
          <w:rFonts w:eastAsiaTheme="minorEastAsia"/>
          <w:bCs/>
        </w:rPr>
      </w:pPr>
    </w:p>
    <w:p w14:paraId="3A4D55B4" w14:textId="0890C809" w:rsidR="009D7F20" w:rsidRDefault="00C82D30" w:rsidP="00582287">
      <w:pPr>
        <w:pStyle w:val="ListParagraph"/>
        <w:tabs>
          <w:tab w:val="left" w:pos="1279"/>
        </w:tabs>
        <w:ind w:left="0" w:rightChars="-9" w:right="-22"/>
        <w:jc w:val="both"/>
        <w:rPr>
          <w:rFonts w:eastAsiaTheme="minorEastAsia"/>
          <w:bCs/>
        </w:rPr>
      </w:pPr>
      <w:r>
        <w:rPr>
          <w:rFonts w:eastAsiaTheme="minorEastAsia"/>
          <w:bCs/>
        </w:rPr>
        <w:t xml:space="preserve">In addition, </w:t>
      </w:r>
      <w:r w:rsidR="0036330A">
        <w:rPr>
          <w:rFonts w:eastAsiaTheme="minorEastAsia"/>
          <w:bCs/>
        </w:rPr>
        <w:t>D</w:t>
      </w:r>
      <w:r>
        <w:rPr>
          <w:rFonts w:eastAsiaTheme="minorEastAsia"/>
          <w:bCs/>
        </w:rPr>
        <w:t>r. Loke Yu (“</w:t>
      </w:r>
      <w:r w:rsidR="0036330A">
        <w:rPr>
          <w:rFonts w:eastAsiaTheme="minorEastAsia"/>
          <w:b/>
          <w:bCs/>
        </w:rPr>
        <w:t>D</w:t>
      </w:r>
      <w:r w:rsidRPr="001A77D2">
        <w:rPr>
          <w:rFonts w:eastAsiaTheme="minorEastAsia"/>
          <w:b/>
          <w:bCs/>
        </w:rPr>
        <w:t>r. Loke</w:t>
      </w:r>
      <w:r>
        <w:rPr>
          <w:rFonts w:eastAsiaTheme="minorEastAsia"/>
          <w:bCs/>
        </w:rPr>
        <w:t xml:space="preserve">”) had tendered his resignation as an independent non-executive director of the Company and ceased to act as the Chairman of the Audit Committee and a member of the Remuneration Committee and Resumption Committee of the Board, with effect from </w:t>
      </w:r>
      <w:r w:rsidR="00E02213">
        <w:rPr>
          <w:rFonts w:eastAsiaTheme="minorEastAsia"/>
          <w:bCs/>
        </w:rPr>
        <w:t>31 May</w:t>
      </w:r>
      <w:r>
        <w:rPr>
          <w:rFonts w:eastAsiaTheme="minorEastAsia"/>
          <w:bCs/>
        </w:rPr>
        <w:t xml:space="preserve"> 2020, due to other business engagements.</w:t>
      </w:r>
    </w:p>
    <w:p w14:paraId="05D9EF10" w14:textId="77777777" w:rsidR="00C82D30" w:rsidRDefault="00C82D30" w:rsidP="00582287">
      <w:pPr>
        <w:pStyle w:val="ListParagraph"/>
        <w:tabs>
          <w:tab w:val="left" w:pos="1279"/>
        </w:tabs>
        <w:ind w:left="0" w:rightChars="-9" w:right="-22"/>
        <w:jc w:val="both"/>
        <w:rPr>
          <w:rFonts w:eastAsiaTheme="minorEastAsia"/>
          <w:bCs/>
        </w:rPr>
      </w:pPr>
    </w:p>
    <w:p w14:paraId="44E574ED" w14:textId="3556AF0D" w:rsidR="00AF6BDE" w:rsidRDefault="00C82D30" w:rsidP="00582287">
      <w:pPr>
        <w:pStyle w:val="ListParagraph"/>
        <w:tabs>
          <w:tab w:val="left" w:pos="1279"/>
        </w:tabs>
        <w:ind w:left="0" w:rightChars="-9" w:right="-22"/>
        <w:jc w:val="both"/>
        <w:rPr>
          <w:rFonts w:eastAsiaTheme="minorEastAsia"/>
          <w:bCs/>
        </w:rPr>
      </w:pPr>
      <w:r>
        <w:rPr>
          <w:rFonts w:eastAsiaTheme="minorEastAsia"/>
          <w:bCs/>
        </w:rPr>
        <w:t xml:space="preserve">Each of </w:t>
      </w:r>
      <w:r w:rsidR="00AF6BDE">
        <w:rPr>
          <w:rFonts w:eastAsiaTheme="minorEastAsia"/>
          <w:bCs/>
        </w:rPr>
        <w:t xml:space="preserve">Mr. </w:t>
      </w:r>
      <w:r w:rsidR="000612B1">
        <w:rPr>
          <w:rFonts w:eastAsiaTheme="minorEastAsia"/>
          <w:bCs/>
        </w:rPr>
        <w:t xml:space="preserve">Xu </w:t>
      </w:r>
      <w:r>
        <w:rPr>
          <w:rFonts w:eastAsiaTheme="minorEastAsia"/>
          <w:bCs/>
        </w:rPr>
        <w:t xml:space="preserve">and </w:t>
      </w:r>
      <w:r w:rsidR="0036330A">
        <w:rPr>
          <w:rFonts w:eastAsiaTheme="minorEastAsia"/>
          <w:bCs/>
        </w:rPr>
        <w:t>Dr</w:t>
      </w:r>
      <w:r>
        <w:rPr>
          <w:rFonts w:eastAsiaTheme="minorEastAsia"/>
          <w:bCs/>
        </w:rPr>
        <w:t xml:space="preserve">. Loke </w:t>
      </w:r>
      <w:r w:rsidR="00AF6BDE">
        <w:rPr>
          <w:rFonts w:eastAsiaTheme="minorEastAsia"/>
          <w:bCs/>
        </w:rPr>
        <w:t xml:space="preserve">has confirmed that he has no disagreement with the Board and there is no matter relating to his resignation that needs to be brought to the attention of the shareholders of the Company or The Stock Exchange of Hong Kong Limited. </w:t>
      </w:r>
    </w:p>
    <w:p w14:paraId="6DA72C57" w14:textId="415CF4B9" w:rsidR="00AF6BDE" w:rsidRDefault="00AF6BDE" w:rsidP="00582287">
      <w:pPr>
        <w:pStyle w:val="ListParagraph"/>
        <w:tabs>
          <w:tab w:val="left" w:pos="1279"/>
        </w:tabs>
        <w:ind w:left="0" w:rightChars="-9" w:right="-22"/>
        <w:jc w:val="both"/>
        <w:rPr>
          <w:rFonts w:eastAsiaTheme="minorEastAsia"/>
          <w:bCs/>
        </w:rPr>
      </w:pPr>
    </w:p>
    <w:p w14:paraId="2625456F" w14:textId="10D92BEC" w:rsidR="00AF6BDE" w:rsidRDefault="00AF6BDE" w:rsidP="00582287">
      <w:pPr>
        <w:pStyle w:val="ListParagraph"/>
        <w:tabs>
          <w:tab w:val="left" w:pos="1279"/>
        </w:tabs>
        <w:ind w:left="0" w:rightChars="-9" w:right="-22"/>
        <w:jc w:val="both"/>
        <w:rPr>
          <w:rFonts w:eastAsiaTheme="minorEastAsia"/>
          <w:bCs/>
        </w:rPr>
      </w:pPr>
      <w:r>
        <w:rPr>
          <w:rFonts w:eastAsiaTheme="minorEastAsia"/>
          <w:bCs/>
        </w:rPr>
        <w:t xml:space="preserve">The Board would like to express its gratitude to Mr. </w:t>
      </w:r>
      <w:r w:rsidR="00F44281">
        <w:rPr>
          <w:rFonts w:eastAsiaTheme="minorEastAsia"/>
          <w:bCs/>
        </w:rPr>
        <w:t xml:space="preserve">Xu </w:t>
      </w:r>
      <w:r w:rsidR="00C82D30">
        <w:rPr>
          <w:rFonts w:eastAsiaTheme="minorEastAsia"/>
          <w:bCs/>
        </w:rPr>
        <w:t xml:space="preserve">and </w:t>
      </w:r>
      <w:r w:rsidR="0036330A">
        <w:rPr>
          <w:rFonts w:eastAsiaTheme="minorEastAsia"/>
          <w:bCs/>
        </w:rPr>
        <w:t>Dr</w:t>
      </w:r>
      <w:r w:rsidR="00C82D30">
        <w:rPr>
          <w:rFonts w:eastAsiaTheme="minorEastAsia"/>
          <w:bCs/>
        </w:rPr>
        <w:t xml:space="preserve">. Loke </w:t>
      </w:r>
      <w:r>
        <w:rPr>
          <w:rFonts w:eastAsiaTheme="minorEastAsia"/>
          <w:bCs/>
        </w:rPr>
        <w:t xml:space="preserve">for </w:t>
      </w:r>
      <w:r w:rsidR="00C82D30">
        <w:rPr>
          <w:rFonts w:eastAsiaTheme="minorEastAsia"/>
          <w:bCs/>
        </w:rPr>
        <w:t xml:space="preserve">their </w:t>
      </w:r>
      <w:r>
        <w:rPr>
          <w:rFonts w:eastAsiaTheme="minorEastAsia"/>
          <w:bCs/>
        </w:rPr>
        <w:t xml:space="preserve">support, devotion and invaluable contribution during </w:t>
      </w:r>
      <w:r w:rsidR="00C82D30">
        <w:rPr>
          <w:rFonts w:eastAsiaTheme="minorEastAsia"/>
          <w:bCs/>
        </w:rPr>
        <w:t xml:space="preserve">their </w:t>
      </w:r>
      <w:r>
        <w:rPr>
          <w:rFonts w:eastAsiaTheme="minorEastAsia"/>
          <w:bCs/>
        </w:rPr>
        <w:t xml:space="preserve">term of office. </w:t>
      </w:r>
    </w:p>
    <w:p w14:paraId="44AAE542" w14:textId="6B29FAE0" w:rsidR="00D44376" w:rsidRDefault="00D44376" w:rsidP="00582287">
      <w:pPr>
        <w:pStyle w:val="ListParagraph"/>
        <w:tabs>
          <w:tab w:val="left" w:pos="1279"/>
        </w:tabs>
        <w:ind w:left="0" w:rightChars="-9" w:right="-22"/>
        <w:jc w:val="both"/>
        <w:rPr>
          <w:rFonts w:eastAsiaTheme="minorEastAsia"/>
          <w:bCs/>
        </w:rPr>
      </w:pPr>
    </w:p>
    <w:p w14:paraId="28DCC9B0" w14:textId="77777777" w:rsidR="009D7F20" w:rsidRDefault="009D7F20">
      <w:pPr>
        <w:rPr>
          <w:rFonts w:eastAsiaTheme="minorEastAsia"/>
          <w:bCs/>
        </w:rPr>
      </w:pPr>
      <w:r>
        <w:rPr>
          <w:rFonts w:eastAsiaTheme="minorEastAsia"/>
          <w:bCs/>
        </w:rPr>
        <w:br w:type="page"/>
      </w:r>
    </w:p>
    <w:p w14:paraId="7ABF4EB3" w14:textId="7365A371" w:rsidR="00821706" w:rsidRDefault="00D44376" w:rsidP="00821706">
      <w:pPr>
        <w:tabs>
          <w:tab w:val="left" w:pos="1279"/>
        </w:tabs>
        <w:ind w:rightChars="-9" w:right="-22"/>
        <w:jc w:val="both"/>
        <w:rPr>
          <w:rFonts w:eastAsiaTheme="minorEastAsia"/>
          <w:bCs/>
        </w:rPr>
      </w:pPr>
      <w:r w:rsidRPr="00821706">
        <w:rPr>
          <w:rFonts w:eastAsiaTheme="minorEastAsia"/>
          <w:bCs/>
        </w:rPr>
        <w:lastRenderedPageBreak/>
        <w:t xml:space="preserve">Following the resignation of Mr. </w:t>
      </w:r>
      <w:r w:rsidR="00F44281">
        <w:rPr>
          <w:rFonts w:eastAsiaTheme="minorEastAsia"/>
          <w:bCs/>
        </w:rPr>
        <w:t>Xu</w:t>
      </w:r>
      <w:r w:rsidR="00C82D30">
        <w:rPr>
          <w:rFonts w:eastAsiaTheme="minorEastAsia"/>
          <w:bCs/>
        </w:rPr>
        <w:t xml:space="preserve"> and </w:t>
      </w:r>
      <w:r w:rsidR="0036330A">
        <w:rPr>
          <w:rFonts w:eastAsiaTheme="minorEastAsia"/>
          <w:bCs/>
        </w:rPr>
        <w:t>Dr</w:t>
      </w:r>
      <w:r w:rsidR="00C82D30">
        <w:rPr>
          <w:rFonts w:eastAsiaTheme="minorEastAsia"/>
          <w:bCs/>
        </w:rPr>
        <w:t>. Loke</w:t>
      </w:r>
      <w:r w:rsidRPr="00821706">
        <w:rPr>
          <w:rFonts w:eastAsiaTheme="minorEastAsia"/>
          <w:bCs/>
        </w:rPr>
        <w:t xml:space="preserve">, </w:t>
      </w:r>
      <w:r w:rsidR="003256F9">
        <w:rPr>
          <w:rFonts w:eastAsiaTheme="minorEastAsia"/>
          <w:bCs/>
        </w:rPr>
        <w:t xml:space="preserve">the </w:t>
      </w:r>
      <w:r w:rsidR="00CC7C4B">
        <w:rPr>
          <w:rFonts w:eastAsiaTheme="minorEastAsia"/>
          <w:bCs/>
        </w:rPr>
        <w:t>Board comprises three executive directors</w:t>
      </w:r>
      <w:r w:rsidR="00163927">
        <w:rPr>
          <w:rFonts w:eastAsiaTheme="minorEastAsia"/>
          <w:bCs/>
        </w:rPr>
        <w:t>.</w:t>
      </w:r>
      <w:r w:rsidR="003256F9">
        <w:rPr>
          <w:rFonts w:eastAsiaTheme="minorEastAsia"/>
          <w:bCs/>
        </w:rPr>
        <w:t xml:space="preserve"> </w:t>
      </w:r>
      <w:r w:rsidR="00163927">
        <w:rPr>
          <w:rFonts w:eastAsiaTheme="minorEastAsia"/>
          <w:bCs/>
        </w:rPr>
        <w:t>T</w:t>
      </w:r>
      <w:r w:rsidR="00821706" w:rsidRPr="00821706">
        <w:rPr>
          <w:rFonts w:eastAsiaTheme="minorEastAsia"/>
          <w:bCs/>
        </w:rPr>
        <w:t>he number of independent non-executive director</w:t>
      </w:r>
      <w:r w:rsidR="00AA46E6">
        <w:rPr>
          <w:rFonts w:eastAsiaTheme="minorEastAsia"/>
          <w:bCs/>
        </w:rPr>
        <w:t>s</w:t>
      </w:r>
      <w:r w:rsidR="00821706" w:rsidRPr="00821706">
        <w:rPr>
          <w:rFonts w:eastAsiaTheme="minorEastAsia"/>
          <w:bCs/>
        </w:rPr>
        <w:t xml:space="preserve"> of the Company falls below the minimum </w:t>
      </w:r>
      <w:r w:rsidR="00CC7C4B">
        <w:rPr>
          <w:rFonts w:eastAsiaTheme="minorEastAsia"/>
          <w:bCs/>
        </w:rPr>
        <w:t xml:space="preserve">of three </w:t>
      </w:r>
      <w:r w:rsidR="00821706" w:rsidRPr="00821706">
        <w:rPr>
          <w:rFonts w:eastAsiaTheme="minorEastAsia"/>
          <w:bCs/>
        </w:rPr>
        <w:t>required under Rule 3.10(1) of the Listing Rules</w:t>
      </w:r>
      <w:r w:rsidR="00F034DC">
        <w:rPr>
          <w:rFonts w:eastAsiaTheme="minorEastAsia"/>
          <w:bCs/>
        </w:rPr>
        <w:t>, the Company does not have</w:t>
      </w:r>
      <w:r w:rsidR="009D7F20">
        <w:rPr>
          <w:rFonts w:eastAsiaTheme="minorEastAsia"/>
          <w:bCs/>
        </w:rPr>
        <w:t xml:space="preserve"> </w:t>
      </w:r>
      <w:r w:rsidR="00F034DC">
        <w:rPr>
          <w:rFonts w:eastAsiaTheme="minorEastAsia"/>
          <w:bCs/>
        </w:rPr>
        <w:t xml:space="preserve">at least </w:t>
      </w:r>
      <w:r w:rsidR="00F034DC">
        <w:t xml:space="preserve">one of the independent non-executive directors having appropriate professional qualifications or accounting or related financial management expertise </w:t>
      </w:r>
      <w:r w:rsidR="000066EE">
        <w:t xml:space="preserve">required </w:t>
      </w:r>
      <w:r w:rsidR="00F034DC" w:rsidRPr="00821706">
        <w:rPr>
          <w:rFonts w:eastAsiaTheme="minorEastAsia"/>
          <w:bCs/>
        </w:rPr>
        <w:t>under Rule 3.10(</w:t>
      </w:r>
      <w:r w:rsidR="00F034DC">
        <w:rPr>
          <w:rFonts w:eastAsiaTheme="minorEastAsia"/>
          <w:bCs/>
        </w:rPr>
        <w:t>2</w:t>
      </w:r>
      <w:r w:rsidR="00F034DC" w:rsidRPr="00821706">
        <w:rPr>
          <w:rFonts w:eastAsiaTheme="minorEastAsia"/>
          <w:bCs/>
        </w:rPr>
        <w:t xml:space="preserve">) of the Listing Rules </w:t>
      </w:r>
      <w:r w:rsidR="009D7F20">
        <w:rPr>
          <w:rFonts w:eastAsiaTheme="minorEastAsia"/>
          <w:bCs/>
        </w:rPr>
        <w:t xml:space="preserve">and that the Company does not have independent non-executive directors representing at least one-third of the board required under Rule 3.10A of the Listing Rules. </w:t>
      </w:r>
      <w:r w:rsidR="00163927">
        <w:rPr>
          <w:rFonts w:eastAsiaTheme="minorEastAsia"/>
          <w:bCs/>
        </w:rPr>
        <w:t xml:space="preserve">Besides, </w:t>
      </w:r>
      <w:r w:rsidR="00821706" w:rsidRPr="00821706">
        <w:rPr>
          <w:rFonts w:eastAsiaTheme="minorEastAsia"/>
          <w:bCs/>
        </w:rPr>
        <w:t>the Company no longer fulfills the requirement of</w:t>
      </w:r>
      <w:r w:rsidR="00163927">
        <w:rPr>
          <w:rFonts w:eastAsiaTheme="minorEastAsia"/>
          <w:bCs/>
        </w:rPr>
        <w:t xml:space="preserve"> </w:t>
      </w:r>
      <w:r w:rsidR="00821706" w:rsidRPr="00821706">
        <w:rPr>
          <w:rFonts w:eastAsiaTheme="minorEastAsia"/>
          <w:bCs/>
        </w:rPr>
        <w:t xml:space="preserve">establishing </w:t>
      </w:r>
      <w:r w:rsidR="00163927">
        <w:rPr>
          <w:rFonts w:eastAsiaTheme="minorEastAsia"/>
          <w:bCs/>
        </w:rPr>
        <w:t>(</w:t>
      </w:r>
      <w:proofErr w:type="spellStart"/>
      <w:r w:rsidR="00163927">
        <w:rPr>
          <w:rFonts w:eastAsiaTheme="minorEastAsia"/>
          <w:bCs/>
        </w:rPr>
        <w:t>i</w:t>
      </w:r>
      <w:proofErr w:type="spellEnd"/>
      <w:r w:rsidR="00163927">
        <w:rPr>
          <w:rFonts w:eastAsiaTheme="minorEastAsia"/>
          <w:bCs/>
        </w:rPr>
        <w:t xml:space="preserve">) a remuneration committee chaired by an independent non-executive director and comprising a majority of independent non-executive directors required under Rule 3.25 of the Listing Rules; (ii) </w:t>
      </w:r>
      <w:r w:rsidR="00CC7C4B">
        <w:rPr>
          <w:rFonts w:eastAsiaTheme="minorEastAsia"/>
          <w:bCs/>
        </w:rPr>
        <w:t>an audit committee comprises non-executive directors only and a minimum of three members</w:t>
      </w:r>
      <w:r w:rsidR="00F034DC">
        <w:rPr>
          <w:rFonts w:eastAsiaTheme="minorEastAsia"/>
          <w:bCs/>
        </w:rPr>
        <w:t xml:space="preserve">, </w:t>
      </w:r>
      <w:r w:rsidR="00F034DC">
        <w:t>majority of the which must be independent non-executive directors</w:t>
      </w:r>
      <w:r w:rsidR="0084037B">
        <w:rPr>
          <w:rFonts w:eastAsia="新細明體" w:hint="eastAsia"/>
          <w:lang w:eastAsia="zh-TW"/>
        </w:rPr>
        <w:t>,</w:t>
      </w:r>
      <w:r w:rsidR="001A77D2">
        <w:rPr>
          <w:rFonts w:eastAsia="新細明體"/>
          <w:lang w:eastAsia="zh-TW"/>
        </w:rPr>
        <w:t xml:space="preserve"> </w:t>
      </w:r>
      <w:r w:rsidR="00F034DC">
        <w:t xml:space="preserve">the audit committee must be chaired by an independent non-executive director and at least one of the members of the </w:t>
      </w:r>
      <w:r w:rsidR="006E09A6">
        <w:t>a</w:t>
      </w:r>
      <w:r w:rsidR="00F034DC">
        <w:t xml:space="preserve">udit </w:t>
      </w:r>
      <w:r w:rsidR="006E09A6">
        <w:t>c</w:t>
      </w:r>
      <w:r w:rsidR="00F034DC">
        <w:t xml:space="preserve">ommittee is an independent non-executive director with appropriate professional qualifications or accounting or related financial management expertise </w:t>
      </w:r>
      <w:r w:rsidR="00F034DC">
        <w:rPr>
          <w:rFonts w:eastAsiaTheme="minorEastAsia"/>
          <w:bCs/>
        </w:rPr>
        <w:t xml:space="preserve">as </w:t>
      </w:r>
      <w:r w:rsidR="00CC7C4B">
        <w:rPr>
          <w:rFonts w:eastAsiaTheme="minorEastAsia"/>
          <w:bCs/>
        </w:rPr>
        <w:t xml:space="preserve">required under Rule 3.21 of the Listing Rules; and (iii) </w:t>
      </w:r>
      <w:r w:rsidR="00163927">
        <w:rPr>
          <w:rFonts w:eastAsiaTheme="minorEastAsia"/>
          <w:bCs/>
        </w:rPr>
        <w:t xml:space="preserve">a nomination </w:t>
      </w:r>
      <w:r w:rsidR="00821706" w:rsidRPr="00821706">
        <w:rPr>
          <w:rFonts w:eastAsiaTheme="minorEastAsia"/>
          <w:bCs/>
        </w:rPr>
        <w:t>committee chaired by the chairman of the board</w:t>
      </w:r>
      <w:r w:rsidR="00821706">
        <w:rPr>
          <w:rFonts w:eastAsiaTheme="minorEastAsia" w:hint="eastAsia"/>
          <w:bCs/>
        </w:rPr>
        <w:t xml:space="preserve"> </w:t>
      </w:r>
      <w:r w:rsidR="00821706" w:rsidRPr="00821706">
        <w:rPr>
          <w:rFonts w:eastAsiaTheme="minorEastAsia"/>
          <w:bCs/>
        </w:rPr>
        <w:t>or an independent non-executive director and comprises a majority of independent non</w:t>
      </w:r>
      <w:r w:rsidR="00821706">
        <w:rPr>
          <w:rFonts w:eastAsiaTheme="minorEastAsia"/>
          <w:bCs/>
        </w:rPr>
        <w:t>-</w:t>
      </w:r>
      <w:r w:rsidR="00821706" w:rsidRPr="00821706">
        <w:rPr>
          <w:rFonts w:eastAsiaTheme="minorEastAsia"/>
          <w:bCs/>
        </w:rPr>
        <w:t>executive directors under code provision A.5.1 of the Corporate Governance Code contained</w:t>
      </w:r>
      <w:r w:rsidR="00821706" w:rsidRPr="00821706">
        <w:rPr>
          <w:rFonts w:eastAsiaTheme="minorEastAsia" w:hint="eastAsia"/>
          <w:bCs/>
        </w:rPr>
        <w:t xml:space="preserve"> </w:t>
      </w:r>
      <w:r w:rsidR="00821706" w:rsidRPr="00821706">
        <w:rPr>
          <w:rFonts w:eastAsiaTheme="minorEastAsia"/>
          <w:bCs/>
        </w:rPr>
        <w:t>in Appendix 14 to the Listing Rules</w:t>
      </w:r>
      <w:r w:rsidR="002264BD" w:rsidRPr="00821706">
        <w:rPr>
          <w:rFonts w:eastAsiaTheme="minorEastAsia"/>
          <w:bCs/>
        </w:rPr>
        <w:t xml:space="preserve">. </w:t>
      </w:r>
    </w:p>
    <w:p w14:paraId="72321ABB" w14:textId="77777777" w:rsidR="00944072" w:rsidRDefault="00944072" w:rsidP="002E5194">
      <w:pPr>
        <w:rPr>
          <w:color w:val="231F20"/>
          <w:spacing w:val="3"/>
        </w:rPr>
      </w:pPr>
    </w:p>
    <w:p w14:paraId="566BB5E4" w14:textId="2725B9B8" w:rsidR="00DE5001" w:rsidRDefault="00DE5001" w:rsidP="009E237D">
      <w:pPr>
        <w:snapToGrid w:val="0"/>
        <w:ind w:rightChars="-9" w:right="-22"/>
        <w:rPr>
          <w:color w:val="231F20"/>
          <w:spacing w:val="3"/>
        </w:rPr>
      </w:pPr>
    </w:p>
    <w:p w14:paraId="5D773D61" w14:textId="77777777" w:rsidR="00821706" w:rsidRDefault="00821706" w:rsidP="009E237D">
      <w:pPr>
        <w:snapToGrid w:val="0"/>
        <w:ind w:rightChars="-9" w:right="-22"/>
        <w:rPr>
          <w:color w:val="231F20"/>
          <w:spacing w:val="3"/>
        </w:rPr>
      </w:pPr>
    </w:p>
    <w:p w14:paraId="391E39EF" w14:textId="5B1D42FD" w:rsidR="004B62E5" w:rsidRPr="00B81449" w:rsidRDefault="004B62E5" w:rsidP="006F6578">
      <w:pPr>
        <w:snapToGrid w:val="0"/>
        <w:ind w:leftChars="2126" w:left="5102" w:rightChars="-9" w:right="-22"/>
        <w:jc w:val="center"/>
        <w:rPr>
          <w:color w:val="231F20"/>
          <w:spacing w:val="3"/>
          <w:lang w:eastAsia="zh-TW"/>
        </w:rPr>
      </w:pPr>
      <w:r w:rsidRPr="00B81449">
        <w:rPr>
          <w:color w:val="231F20"/>
          <w:spacing w:val="3"/>
          <w:lang w:eastAsia="zh-TW"/>
        </w:rPr>
        <w:t>By order of the Board of Directors</w:t>
      </w:r>
    </w:p>
    <w:p w14:paraId="57A15001" w14:textId="77777777" w:rsidR="004B62E5" w:rsidRPr="00B81449" w:rsidRDefault="004B62E5" w:rsidP="006F6578">
      <w:pPr>
        <w:snapToGrid w:val="0"/>
        <w:ind w:leftChars="2126" w:left="5102" w:rightChars="-9" w:right="-22"/>
        <w:jc w:val="center"/>
        <w:rPr>
          <w:b/>
          <w:bCs/>
          <w:color w:val="231F20"/>
          <w:spacing w:val="3"/>
          <w:lang w:eastAsia="zh-TW"/>
        </w:rPr>
      </w:pPr>
      <w:r w:rsidRPr="00B81449">
        <w:rPr>
          <w:b/>
          <w:bCs/>
          <w:color w:val="231F20"/>
          <w:spacing w:val="3"/>
          <w:lang w:eastAsia="zh-TW"/>
        </w:rPr>
        <w:t>Tianhe Chemicals Group Limited</w:t>
      </w:r>
    </w:p>
    <w:p w14:paraId="62870975" w14:textId="77777777" w:rsidR="004B62E5" w:rsidRPr="00B81449" w:rsidRDefault="004B62E5" w:rsidP="006F6578">
      <w:pPr>
        <w:snapToGrid w:val="0"/>
        <w:ind w:leftChars="2126" w:left="5102" w:rightChars="-9" w:right="-22"/>
        <w:jc w:val="center"/>
        <w:rPr>
          <w:b/>
          <w:bCs/>
          <w:color w:val="231F20"/>
          <w:spacing w:val="3"/>
          <w:lang w:eastAsia="zh-TW"/>
        </w:rPr>
      </w:pPr>
      <w:r w:rsidRPr="00B81449">
        <w:rPr>
          <w:b/>
          <w:bCs/>
          <w:color w:val="231F20"/>
          <w:spacing w:val="3"/>
          <w:lang w:eastAsia="zh-TW"/>
        </w:rPr>
        <w:t>WEI Qi</w:t>
      </w:r>
    </w:p>
    <w:p w14:paraId="3EE16F8B" w14:textId="20FD1192" w:rsidR="00A035C8" w:rsidRPr="00B81449" w:rsidRDefault="004B62E5" w:rsidP="006F6578">
      <w:pPr>
        <w:snapToGrid w:val="0"/>
        <w:ind w:leftChars="2126" w:left="5102" w:rightChars="-9" w:right="-22"/>
        <w:jc w:val="center"/>
      </w:pPr>
      <w:r w:rsidRPr="00B81449">
        <w:rPr>
          <w:i/>
          <w:iCs/>
          <w:color w:val="231F20"/>
          <w:spacing w:val="3"/>
          <w:lang w:eastAsia="zh-TW"/>
        </w:rPr>
        <w:t>Chairman and Executive Director</w:t>
      </w:r>
    </w:p>
    <w:p w14:paraId="1EB588A3" w14:textId="77777777" w:rsidR="00BF539A" w:rsidRDefault="00BF539A" w:rsidP="0061695C">
      <w:pPr>
        <w:ind w:rightChars="-9" w:right="-22"/>
        <w:jc w:val="both"/>
      </w:pPr>
    </w:p>
    <w:p w14:paraId="43A2AC2E" w14:textId="77777777" w:rsidR="00DE5001" w:rsidRDefault="00DE5001" w:rsidP="0061695C">
      <w:pPr>
        <w:ind w:rightChars="-9" w:right="-22"/>
        <w:jc w:val="both"/>
      </w:pPr>
    </w:p>
    <w:p w14:paraId="297C8C60" w14:textId="6E280BD7" w:rsidR="005E22F7" w:rsidRDefault="004B62E5" w:rsidP="00FB55E1">
      <w:pPr>
        <w:ind w:rightChars="-9" w:right="-22"/>
        <w:jc w:val="both"/>
        <w:rPr>
          <w:i/>
          <w:iCs/>
          <w:sz w:val="20"/>
          <w:szCs w:val="20"/>
        </w:rPr>
      </w:pPr>
      <w:r w:rsidRPr="00B81449">
        <w:t xml:space="preserve">Hong Kong, </w:t>
      </w:r>
      <w:r w:rsidR="006E09A6">
        <w:t>9</w:t>
      </w:r>
      <w:r w:rsidR="0004768F">
        <w:t xml:space="preserve"> June</w:t>
      </w:r>
      <w:r w:rsidR="00796C12">
        <w:t xml:space="preserve"> </w:t>
      </w:r>
      <w:r w:rsidRPr="00B81449">
        <w:t>20</w:t>
      </w:r>
      <w:r w:rsidR="00796C12">
        <w:t>20</w:t>
      </w:r>
    </w:p>
    <w:p w14:paraId="6B674C58" w14:textId="77777777" w:rsidR="00D81871" w:rsidRDefault="00D81871" w:rsidP="00FB55E1">
      <w:pPr>
        <w:ind w:rightChars="-9" w:right="-22"/>
        <w:jc w:val="both"/>
        <w:rPr>
          <w:i/>
          <w:iCs/>
          <w:sz w:val="20"/>
          <w:szCs w:val="20"/>
        </w:rPr>
      </w:pPr>
    </w:p>
    <w:p w14:paraId="21329FA1" w14:textId="115B3750" w:rsidR="004B62E5" w:rsidRDefault="004B62E5" w:rsidP="00FB55E1">
      <w:pPr>
        <w:ind w:rightChars="-9" w:right="-22"/>
        <w:jc w:val="both"/>
        <w:rPr>
          <w:i/>
          <w:iCs/>
          <w:sz w:val="20"/>
          <w:szCs w:val="20"/>
        </w:rPr>
      </w:pPr>
      <w:r w:rsidRPr="00AA0AD7">
        <w:rPr>
          <w:i/>
          <w:iCs/>
          <w:sz w:val="20"/>
          <w:szCs w:val="20"/>
        </w:rPr>
        <w:t>As at the date of this announcement, the Board of Directors of the Comp</w:t>
      </w:r>
      <w:r w:rsidR="000048A6">
        <w:rPr>
          <w:i/>
          <w:iCs/>
          <w:sz w:val="20"/>
          <w:szCs w:val="20"/>
        </w:rPr>
        <w:t>any comprises WEI Qi, WEI Xuan</w:t>
      </w:r>
      <w:r w:rsidR="000048A6">
        <w:rPr>
          <w:rFonts w:hint="eastAsia"/>
          <w:i/>
          <w:iCs/>
          <w:sz w:val="20"/>
          <w:szCs w:val="20"/>
        </w:rPr>
        <w:t xml:space="preserve"> </w:t>
      </w:r>
      <w:r w:rsidRPr="00AA0AD7">
        <w:rPr>
          <w:i/>
          <w:iCs/>
          <w:sz w:val="20"/>
          <w:szCs w:val="20"/>
        </w:rPr>
        <w:t>and JIANG Po, as executive Directors</w:t>
      </w:r>
      <w:r w:rsidR="006E09A6">
        <w:rPr>
          <w:i/>
          <w:iCs/>
          <w:sz w:val="20"/>
          <w:szCs w:val="20"/>
        </w:rPr>
        <w:t>.</w:t>
      </w:r>
    </w:p>
    <w:p w14:paraId="2A22EF4F" w14:textId="6B7C0C2E" w:rsidR="003256F9" w:rsidRPr="008E39E1" w:rsidRDefault="003256F9" w:rsidP="00FB55E1">
      <w:pPr>
        <w:ind w:rightChars="-9" w:right="-22"/>
        <w:jc w:val="both"/>
        <w:rPr>
          <w:color w:val="000000"/>
          <w:sz w:val="22"/>
        </w:rPr>
      </w:pPr>
    </w:p>
    <w:sectPr w:rsidR="003256F9" w:rsidRPr="008E39E1" w:rsidSect="00B5537A">
      <w:footerReference w:type="even" r:id="rId9"/>
      <w:footerReference w:type="default" r:id="rId10"/>
      <w:footerReference w:type="first" r:id="rId11"/>
      <w:pgSz w:w="11909" w:h="16834" w:code="9"/>
      <w:pgMar w:top="1276" w:right="1277" w:bottom="709" w:left="1440" w:header="720" w:footer="6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DA24" w14:textId="77777777" w:rsidR="00110214" w:rsidRDefault="00110214">
      <w:r>
        <w:separator/>
      </w:r>
    </w:p>
  </w:endnote>
  <w:endnote w:type="continuationSeparator" w:id="0">
    <w:p w14:paraId="25CCC999" w14:textId="77777777" w:rsidR="00110214" w:rsidRDefault="00110214">
      <w:r>
        <w:continuationSeparator/>
      </w:r>
    </w:p>
  </w:endnote>
  <w:endnote w:type="continuationNotice" w:id="1">
    <w:p w14:paraId="1A53EE3D" w14:textId="77777777" w:rsidR="00110214" w:rsidRDefault="0011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00006FF" w:usb1="0000FCFF" w:usb2="00000001" w:usb3="00000000" w:csb0="0000019F" w:csb1="00000000"/>
  </w:font>
  <w:font w:name="..e.....">
    <w:altName w:val="MS Mincho"/>
    <w:panose1 w:val="00000000000000000000"/>
    <w:charset w:val="80"/>
    <w:family w:val="roman"/>
    <w:notTrueType/>
    <w:pitch w:val="default"/>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99F6" w14:textId="77777777" w:rsidR="007804D1" w:rsidRDefault="007804D1" w:rsidP="008C4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EB7">
      <w:rPr>
        <w:rStyle w:val="PageNumber"/>
        <w:noProof/>
      </w:rPr>
      <w:t>1</w:t>
    </w:r>
    <w:r>
      <w:rPr>
        <w:rStyle w:val="PageNumber"/>
      </w:rPr>
      <w:fldChar w:fldCharType="end"/>
    </w:r>
  </w:p>
  <w:p w14:paraId="00794E3C" w14:textId="77777777" w:rsidR="007804D1" w:rsidRDefault="007804D1" w:rsidP="008C4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AE89" w14:textId="77777777" w:rsidR="007804D1" w:rsidRDefault="007804D1" w:rsidP="00AF75A3">
    <w:pPr>
      <w:pStyle w:val="Footer"/>
    </w:pPr>
  </w:p>
  <w:p w14:paraId="40D0A193" w14:textId="6E4ACE09" w:rsidR="007804D1" w:rsidRDefault="007804D1">
    <w:pPr>
      <w:pStyle w:val="Footer"/>
      <w:jc w:val="center"/>
    </w:pPr>
    <w:r>
      <w:t>-</w:t>
    </w:r>
    <w:r w:rsidRPr="00F3161A">
      <w:rPr>
        <w:sz w:val="22"/>
        <w:szCs w:val="22"/>
      </w:rPr>
      <w:fldChar w:fldCharType="begin"/>
    </w:r>
    <w:r w:rsidRPr="00F3161A">
      <w:rPr>
        <w:sz w:val="22"/>
        <w:szCs w:val="22"/>
      </w:rPr>
      <w:instrText>PAGE   \* MERGEFORMAT</w:instrText>
    </w:r>
    <w:r w:rsidRPr="00F3161A">
      <w:rPr>
        <w:sz w:val="22"/>
        <w:szCs w:val="22"/>
      </w:rPr>
      <w:fldChar w:fldCharType="separate"/>
    </w:r>
    <w:r w:rsidR="001A77D2" w:rsidRPr="001A77D2">
      <w:rPr>
        <w:noProof/>
        <w:sz w:val="22"/>
        <w:szCs w:val="22"/>
        <w:lang w:val="zh-TW" w:eastAsia="zh-TW"/>
      </w:rPr>
      <w:t>2</w:t>
    </w:r>
    <w:r w:rsidRPr="00F3161A">
      <w:rPr>
        <w:sz w:val="22"/>
        <w:szCs w:val="22"/>
      </w:rPr>
      <w:fldChar w:fldCharType="end"/>
    </w:r>
    <w:r>
      <w:t>-</w:t>
    </w:r>
  </w:p>
  <w:p w14:paraId="1ED35C25" w14:textId="77777777" w:rsidR="007804D1" w:rsidRPr="00AF3586" w:rsidRDefault="007804D1" w:rsidP="00AF3586">
    <w:pPr>
      <w:pStyle w:val="Footer"/>
      <w:tabs>
        <w:tab w:val="clear" w:pos="4320"/>
        <w:tab w:val="clear" w:pos="8640"/>
        <w:tab w:val="right" w:pos="9000"/>
      </w:tabs>
      <w:ind w:right="29"/>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BC9E" w14:textId="35291F0F" w:rsidR="007804D1" w:rsidRDefault="007804D1">
    <w:pPr>
      <w:pStyle w:val="Footer"/>
      <w:jc w:val="center"/>
    </w:pPr>
    <w:r>
      <w:t>-</w:t>
    </w:r>
    <w:r w:rsidRPr="00F3161A">
      <w:rPr>
        <w:sz w:val="22"/>
        <w:szCs w:val="22"/>
      </w:rPr>
      <w:fldChar w:fldCharType="begin"/>
    </w:r>
    <w:r w:rsidRPr="00F3161A">
      <w:rPr>
        <w:sz w:val="22"/>
        <w:szCs w:val="22"/>
      </w:rPr>
      <w:instrText>PAGE   \* MERGEFORMAT</w:instrText>
    </w:r>
    <w:r w:rsidRPr="00F3161A">
      <w:rPr>
        <w:sz w:val="22"/>
        <w:szCs w:val="22"/>
      </w:rPr>
      <w:fldChar w:fldCharType="separate"/>
    </w:r>
    <w:r w:rsidR="001A77D2" w:rsidRPr="001A77D2">
      <w:rPr>
        <w:noProof/>
        <w:sz w:val="22"/>
        <w:szCs w:val="22"/>
        <w:lang w:val="zh-TW" w:eastAsia="zh-TW"/>
      </w:rPr>
      <w:t>1</w:t>
    </w:r>
    <w:r w:rsidRPr="00F3161A">
      <w:rPr>
        <w:sz w:val="22"/>
        <w:szCs w:val="22"/>
      </w:rPr>
      <w:fldChar w:fldCharType="end"/>
    </w:r>
    <w:r>
      <w:t>-</w:t>
    </w:r>
  </w:p>
  <w:p w14:paraId="4AAFBD22" w14:textId="77777777" w:rsidR="007804D1" w:rsidRPr="00AF3586" w:rsidRDefault="007804D1" w:rsidP="00AF3586">
    <w:pPr>
      <w:pStyle w:val="Footer"/>
      <w:tabs>
        <w:tab w:val="clear" w:pos="4320"/>
        <w:tab w:val="clear" w:pos="8640"/>
        <w:tab w:val="right" w:pos="90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397C" w14:textId="77777777" w:rsidR="00110214" w:rsidRDefault="00110214">
      <w:r>
        <w:separator/>
      </w:r>
    </w:p>
  </w:footnote>
  <w:footnote w:type="continuationSeparator" w:id="0">
    <w:p w14:paraId="21E8502B" w14:textId="77777777" w:rsidR="00110214" w:rsidRDefault="00110214">
      <w:r>
        <w:continuationSeparator/>
      </w:r>
    </w:p>
  </w:footnote>
  <w:footnote w:type="continuationNotice" w:id="1">
    <w:p w14:paraId="1F3E209D" w14:textId="77777777" w:rsidR="00110214" w:rsidRDefault="001102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FE3"/>
    <w:multiLevelType w:val="hybridMultilevel"/>
    <w:tmpl w:val="5D5CF4A0"/>
    <w:lvl w:ilvl="0" w:tplc="AB36B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2E2A65"/>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2" w15:restartNumberingAfterBreak="0">
    <w:nsid w:val="14292572"/>
    <w:multiLevelType w:val="hybridMultilevel"/>
    <w:tmpl w:val="B93E2D80"/>
    <w:lvl w:ilvl="0" w:tplc="A8E86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B42B8"/>
    <w:multiLevelType w:val="hybridMultilevel"/>
    <w:tmpl w:val="F4E0EB1A"/>
    <w:lvl w:ilvl="0" w:tplc="24AA003A">
      <w:start w:val="1"/>
      <w:numFmt w:val="decimal"/>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4" w15:restartNumberingAfterBreak="0">
    <w:nsid w:val="25F553A3"/>
    <w:multiLevelType w:val="hybridMultilevel"/>
    <w:tmpl w:val="D9D09886"/>
    <w:lvl w:ilvl="0" w:tplc="0BA4E806">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827245D"/>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6" w15:restartNumberingAfterBreak="0">
    <w:nsid w:val="2E5061A9"/>
    <w:multiLevelType w:val="hybridMultilevel"/>
    <w:tmpl w:val="3398B43E"/>
    <w:lvl w:ilvl="0" w:tplc="8C38E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12E6C"/>
    <w:multiLevelType w:val="hybridMultilevel"/>
    <w:tmpl w:val="7CAE8C44"/>
    <w:lvl w:ilvl="0" w:tplc="56E89B46">
      <w:start w:val="2"/>
      <w:numFmt w:val="low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8" w15:restartNumberingAfterBreak="0">
    <w:nsid w:val="43246CC0"/>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9" w15:restartNumberingAfterBreak="0">
    <w:nsid w:val="5F4A75D5"/>
    <w:multiLevelType w:val="hybridMultilevel"/>
    <w:tmpl w:val="108AF27A"/>
    <w:lvl w:ilvl="0" w:tplc="DAA47B4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E25E39"/>
    <w:multiLevelType w:val="hybridMultilevel"/>
    <w:tmpl w:val="F7FE7A6E"/>
    <w:lvl w:ilvl="0" w:tplc="D25E17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665225-v1\HKGDMS"/>
    <w:docVar w:name="OfficeIni" w:val="Hong Kong (HH) - ENGLISH.ini"/>
    <w:docVar w:name="ReferenceFieldsConverted" w:val="True"/>
  </w:docVars>
  <w:rsids>
    <w:rsidRoot w:val="005C33D9"/>
    <w:rsid w:val="00002F90"/>
    <w:rsid w:val="000048A6"/>
    <w:rsid w:val="00005F6D"/>
    <w:rsid w:val="000066EE"/>
    <w:rsid w:val="00006FCC"/>
    <w:rsid w:val="000075BA"/>
    <w:rsid w:val="00011CCB"/>
    <w:rsid w:val="00011FE3"/>
    <w:rsid w:val="000141D0"/>
    <w:rsid w:val="00014597"/>
    <w:rsid w:val="00015305"/>
    <w:rsid w:val="0001795E"/>
    <w:rsid w:val="00021EDD"/>
    <w:rsid w:val="0002303E"/>
    <w:rsid w:val="00023BBC"/>
    <w:rsid w:val="000254B6"/>
    <w:rsid w:val="000310A7"/>
    <w:rsid w:val="00034E7E"/>
    <w:rsid w:val="0003695E"/>
    <w:rsid w:val="00040BC1"/>
    <w:rsid w:val="00042D51"/>
    <w:rsid w:val="00043CEF"/>
    <w:rsid w:val="00046E0F"/>
    <w:rsid w:val="0004768F"/>
    <w:rsid w:val="00052638"/>
    <w:rsid w:val="0005691F"/>
    <w:rsid w:val="000605A3"/>
    <w:rsid w:val="00060B3F"/>
    <w:rsid w:val="000612B1"/>
    <w:rsid w:val="00067E06"/>
    <w:rsid w:val="00071E88"/>
    <w:rsid w:val="000740DB"/>
    <w:rsid w:val="00074797"/>
    <w:rsid w:val="00075BD4"/>
    <w:rsid w:val="0007654B"/>
    <w:rsid w:val="000775A0"/>
    <w:rsid w:val="00077A10"/>
    <w:rsid w:val="00080BD8"/>
    <w:rsid w:val="00081469"/>
    <w:rsid w:val="00083399"/>
    <w:rsid w:val="00086F14"/>
    <w:rsid w:val="0008733D"/>
    <w:rsid w:val="00093BCC"/>
    <w:rsid w:val="00093EE7"/>
    <w:rsid w:val="00096A9C"/>
    <w:rsid w:val="000A2484"/>
    <w:rsid w:val="000B3C3D"/>
    <w:rsid w:val="000B419E"/>
    <w:rsid w:val="000B616F"/>
    <w:rsid w:val="000C0054"/>
    <w:rsid w:val="000C6F43"/>
    <w:rsid w:val="000C7EBC"/>
    <w:rsid w:val="000D128F"/>
    <w:rsid w:val="000D13EF"/>
    <w:rsid w:val="000D21FA"/>
    <w:rsid w:val="000D3CB4"/>
    <w:rsid w:val="000D4BFD"/>
    <w:rsid w:val="000D682E"/>
    <w:rsid w:val="000E22FE"/>
    <w:rsid w:val="000E41AC"/>
    <w:rsid w:val="000E5934"/>
    <w:rsid w:val="000F51ED"/>
    <w:rsid w:val="000F56A0"/>
    <w:rsid w:val="000F62A5"/>
    <w:rsid w:val="0010591C"/>
    <w:rsid w:val="00106AF0"/>
    <w:rsid w:val="00106B03"/>
    <w:rsid w:val="00110214"/>
    <w:rsid w:val="001141F7"/>
    <w:rsid w:val="0011672D"/>
    <w:rsid w:val="00120FAA"/>
    <w:rsid w:val="00121009"/>
    <w:rsid w:val="0012169F"/>
    <w:rsid w:val="0012283D"/>
    <w:rsid w:val="00124316"/>
    <w:rsid w:val="00137BF8"/>
    <w:rsid w:val="00143970"/>
    <w:rsid w:val="0014446D"/>
    <w:rsid w:val="00146E54"/>
    <w:rsid w:val="00146EC3"/>
    <w:rsid w:val="00147B53"/>
    <w:rsid w:val="00147C96"/>
    <w:rsid w:val="00147FE7"/>
    <w:rsid w:val="0015405E"/>
    <w:rsid w:val="00155977"/>
    <w:rsid w:val="00156FD8"/>
    <w:rsid w:val="00163927"/>
    <w:rsid w:val="00166876"/>
    <w:rsid w:val="00166D46"/>
    <w:rsid w:val="00166EF9"/>
    <w:rsid w:val="00171B3E"/>
    <w:rsid w:val="00172154"/>
    <w:rsid w:val="0017241A"/>
    <w:rsid w:val="00172448"/>
    <w:rsid w:val="001745D5"/>
    <w:rsid w:val="001807CB"/>
    <w:rsid w:val="00183300"/>
    <w:rsid w:val="00183421"/>
    <w:rsid w:val="00183B8C"/>
    <w:rsid w:val="0018415D"/>
    <w:rsid w:val="0018590C"/>
    <w:rsid w:val="00185B72"/>
    <w:rsid w:val="00190B08"/>
    <w:rsid w:val="00192A0C"/>
    <w:rsid w:val="00194186"/>
    <w:rsid w:val="0019486E"/>
    <w:rsid w:val="00195013"/>
    <w:rsid w:val="00197155"/>
    <w:rsid w:val="001A1225"/>
    <w:rsid w:val="001A2052"/>
    <w:rsid w:val="001A3682"/>
    <w:rsid w:val="001A4839"/>
    <w:rsid w:val="001A4E9C"/>
    <w:rsid w:val="001A4FA9"/>
    <w:rsid w:val="001A652E"/>
    <w:rsid w:val="001A71F3"/>
    <w:rsid w:val="001A77D2"/>
    <w:rsid w:val="001B14CE"/>
    <w:rsid w:val="001B1C5A"/>
    <w:rsid w:val="001B2D3F"/>
    <w:rsid w:val="001C13AD"/>
    <w:rsid w:val="001C1932"/>
    <w:rsid w:val="001C3AE1"/>
    <w:rsid w:val="001C3B3F"/>
    <w:rsid w:val="001C5263"/>
    <w:rsid w:val="001D2E4D"/>
    <w:rsid w:val="001D56A8"/>
    <w:rsid w:val="001E06D8"/>
    <w:rsid w:val="001E0911"/>
    <w:rsid w:val="001E309C"/>
    <w:rsid w:val="001F5286"/>
    <w:rsid w:val="0020035F"/>
    <w:rsid w:val="00203A7E"/>
    <w:rsid w:val="002041AA"/>
    <w:rsid w:val="0020588A"/>
    <w:rsid w:val="00211905"/>
    <w:rsid w:val="002125C1"/>
    <w:rsid w:val="002136B8"/>
    <w:rsid w:val="0021622D"/>
    <w:rsid w:val="0021652B"/>
    <w:rsid w:val="002232C0"/>
    <w:rsid w:val="00224AAD"/>
    <w:rsid w:val="002264BD"/>
    <w:rsid w:val="002302E3"/>
    <w:rsid w:val="00232D65"/>
    <w:rsid w:val="002338A8"/>
    <w:rsid w:val="00234971"/>
    <w:rsid w:val="00234C2D"/>
    <w:rsid w:val="00236F50"/>
    <w:rsid w:val="00237229"/>
    <w:rsid w:val="00240DCA"/>
    <w:rsid w:val="00240E2B"/>
    <w:rsid w:val="00243DC5"/>
    <w:rsid w:val="00244AFC"/>
    <w:rsid w:val="002468E5"/>
    <w:rsid w:val="00246A46"/>
    <w:rsid w:val="002471D2"/>
    <w:rsid w:val="0025003F"/>
    <w:rsid w:val="00250170"/>
    <w:rsid w:val="00255073"/>
    <w:rsid w:val="002572CF"/>
    <w:rsid w:val="002575F6"/>
    <w:rsid w:val="00257D84"/>
    <w:rsid w:val="00260626"/>
    <w:rsid w:val="0026138C"/>
    <w:rsid w:val="00263C38"/>
    <w:rsid w:val="00264A3C"/>
    <w:rsid w:val="00265194"/>
    <w:rsid w:val="002735F3"/>
    <w:rsid w:val="00274E12"/>
    <w:rsid w:val="00281A6D"/>
    <w:rsid w:val="00283363"/>
    <w:rsid w:val="002876E5"/>
    <w:rsid w:val="00294451"/>
    <w:rsid w:val="00295335"/>
    <w:rsid w:val="00295AE5"/>
    <w:rsid w:val="00295F6C"/>
    <w:rsid w:val="002969DC"/>
    <w:rsid w:val="00297BD7"/>
    <w:rsid w:val="002A5256"/>
    <w:rsid w:val="002A55DC"/>
    <w:rsid w:val="002A5809"/>
    <w:rsid w:val="002A5871"/>
    <w:rsid w:val="002A715A"/>
    <w:rsid w:val="002B0321"/>
    <w:rsid w:val="002B0497"/>
    <w:rsid w:val="002B3D51"/>
    <w:rsid w:val="002B3DEB"/>
    <w:rsid w:val="002B4C42"/>
    <w:rsid w:val="002B5849"/>
    <w:rsid w:val="002B67A1"/>
    <w:rsid w:val="002C046E"/>
    <w:rsid w:val="002C319F"/>
    <w:rsid w:val="002C691D"/>
    <w:rsid w:val="002D0CC7"/>
    <w:rsid w:val="002D425D"/>
    <w:rsid w:val="002D4538"/>
    <w:rsid w:val="002D5DCE"/>
    <w:rsid w:val="002D5EB3"/>
    <w:rsid w:val="002D631E"/>
    <w:rsid w:val="002D64C4"/>
    <w:rsid w:val="002D6A1F"/>
    <w:rsid w:val="002E19A8"/>
    <w:rsid w:val="002E443B"/>
    <w:rsid w:val="002E493F"/>
    <w:rsid w:val="002E5194"/>
    <w:rsid w:val="002E5621"/>
    <w:rsid w:val="002E75BB"/>
    <w:rsid w:val="002F28B1"/>
    <w:rsid w:val="002F5876"/>
    <w:rsid w:val="002F6293"/>
    <w:rsid w:val="002F6615"/>
    <w:rsid w:val="002F67EC"/>
    <w:rsid w:val="002F69A1"/>
    <w:rsid w:val="002F6D0C"/>
    <w:rsid w:val="002F782F"/>
    <w:rsid w:val="0030292C"/>
    <w:rsid w:val="00304D67"/>
    <w:rsid w:val="003061A1"/>
    <w:rsid w:val="003069F8"/>
    <w:rsid w:val="003100FA"/>
    <w:rsid w:val="00310E57"/>
    <w:rsid w:val="00310EBE"/>
    <w:rsid w:val="003114E7"/>
    <w:rsid w:val="00314A0A"/>
    <w:rsid w:val="00315699"/>
    <w:rsid w:val="003172F2"/>
    <w:rsid w:val="003205E1"/>
    <w:rsid w:val="003256F9"/>
    <w:rsid w:val="00334574"/>
    <w:rsid w:val="0033541D"/>
    <w:rsid w:val="00340D9C"/>
    <w:rsid w:val="00343580"/>
    <w:rsid w:val="00343D35"/>
    <w:rsid w:val="00347B8D"/>
    <w:rsid w:val="00350C05"/>
    <w:rsid w:val="00351814"/>
    <w:rsid w:val="00353E21"/>
    <w:rsid w:val="00354F9A"/>
    <w:rsid w:val="003573B0"/>
    <w:rsid w:val="00357549"/>
    <w:rsid w:val="003576B5"/>
    <w:rsid w:val="0036330A"/>
    <w:rsid w:val="003645ED"/>
    <w:rsid w:val="003646EC"/>
    <w:rsid w:val="00364E69"/>
    <w:rsid w:val="0036760D"/>
    <w:rsid w:val="00370B2D"/>
    <w:rsid w:val="00371D1E"/>
    <w:rsid w:val="0037345B"/>
    <w:rsid w:val="0037615E"/>
    <w:rsid w:val="003767D4"/>
    <w:rsid w:val="00380C85"/>
    <w:rsid w:val="00383BF2"/>
    <w:rsid w:val="003848DC"/>
    <w:rsid w:val="003915F8"/>
    <w:rsid w:val="003932FF"/>
    <w:rsid w:val="00393522"/>
    <w:rsid w:val="00394D1A"/>
    <w:rsid w:val="003950A9"/>
    <w:rsid w:val="003A0E08"/>
    <w:rsid w:val="003A20C3"/>
    <w:rsid w:val="003A34B1"/>
    <w:rsid w:val="003A3F7F"/>
    <w:rsid w:val="003A6994"/>
    <w:rsid w:val="003A6C1E"/>
    <w:rsid w:val="003A74BD"/>
    <w:rsid w:val="003B3DB5"/>
    <w:rsid w:val="003B5CB8"/>
    <w:rsid w:val="003B6A0A"/>
    <w:rsid w:val="003C09DF"/>
    <w:rsid w:val="003C2C57"/>
    <w:rsid w:val="003C4661"/>
    <w:rsid w:val="003C78CC"/>
    <w:rsid w:val="003D1744"/>
    <w:rsid w:val="003D1A1F"/>
    <w:rsid w:val="003D7E00"/>
    <w:rsid w:val="003E18F1"/>
    <w:rsid w:val="003E1F2A"/>
    <w:rsid w:val="003E2B25"/>
    <w:rsid w:val="003E3398"/>
    <w:rsid w:val="003E3FB1"/>
    <w:rsid w:val="003E40E9"/>
    <w:rsid w:val="003E494F"/>
    <w:rsid w:val="003E4BB9"/>
    <w:rsid w:val="003E5EF8"/>
    <w:rsid w:val="003E7861"/>
    <w:rsid w:val="003F0D3B"/>
    <w:rsid w:val="003F0DFC"/>
    <w:rsid w:val="003F33C2"/>
    <w:rsid w:val="003F3CE8"/>
    <w:rsid w:val="003F3D7A"/>
    <w:rsid w:val="003F73BC"/>
    <w:rsid w:val="0040058D"/>
    <w:rsid w:val="0040114B"/>
    <w:rsid w:val="004024BB"/>
    <w:rsid w:val="00403718"/>
    <w:rsid w:val="0040689A"/>
    <w:rsid w:val="00406BF4"/>
    <w:rsid w:val="004079D4"/>
    <w:rsid w:val="00411784"/>
    <w:rsid w:val="00412CFC"/>
    <w:rsid w:val="00415A3A"/>
    <w:rsid w:val="0041661A"/>
    <w:rsid w:val="00421D26"/>
    <w:rsid w:val="00422C18"/>
    <w:rsid w:val="00423DD1"/>
    <w:rsid w:val="004275FD"/>
    <w:rsid w:val="00427CE6"/>
    <w:rsid w:val="00427E33"/>
    <w:rsid w:val="004333F5"/>
    <w:rsid w:val="00433816"/>
    <w:rsid w:val="004348A9"/>
    <w:rsid w:val="00441B4F"/>
    <w:rsid w:val="00444E85"/>
    <w:rsid w:val="00446CFE"/>
    <w:rsid w:val="00452B76"/>
    <w:rsid w:val="00456688"/>
    <w:rsid w:val="004571F7"/>
    <w:rsid w:val="004608B9"/>
    <w:rsid w:val="00460E18"/>
    <w:rsid w:val="004613E5"/>
    <w:rsid w:val="00461A96"/>
    <w:rsid w:val="004623CA"/>
    <w:rsid w:val="00463B0C"/>
    <w:rsid w:val="0046481A"/>
    <w:rsid w:val="00465C14"/>
    <w:rsid w:val="00466840"/>
    <w:rsid w:val="0046718F"/>
    <w:rsid w:val="00470B1A"/>
    <w:rsid w:val="00471899"/>
    <w:rsid w:val="00477E6B"/>
    <w:rsid w:val="004803F6"/>
    <w:rsid w:val="004826C1"/>
    <w:rsid w:val="00482FAA"/>
    <w:rsid w:val="0048354E"/>
    <w:rsid w:val="0048585C"/>
    <w:rsid w:val="004906B3"/>
    <w:rsid w:val="0049224D"/>
    <w:rsid w:val="00495189"/>
    <w:rsid w:val="00496B4A"/>
    <w:rsid w:val="00496E4D"/>
    <w:rsid w:val="00496E6A"/>
    <w:rsid w:val="0049741B"/>
    <w:rsid w:val="004976E3"/>
    <w:rsid w:val="004A0D43"/>
    <w:rsid w:val="004A55B7"/>
    <w:rsid w:val="004B0932"/>
    <w:rsid w:val="004B20B5"/>
    <w:rsid w:val="004B48D2"/>
    <w:rsid w:val="004B62E5"/>
    <w:rsid w:val="004B6575"/>
    <w:rsid w:val="004C3C36"/>
    <w:rsid w:val="004C3D90"/>
    <w:rsid w:val="004C3FC4"/>
    <w:rsid w:val="004C518E"/>
    <w:rsid w:val="004D0EA7"/>
    <w:rsid w:val="004D1709"/>
    <w:rsid w:val="004D2A60"/>
    <w:rsid w:val="004D2AEB"/>
    <w:rsid w:val="004D579B"/>
    <w:rsid w:val="004E009E"/>
    <w:rsid w:val="004E0439"/>
    <w:rsid w:val="004E07F4"/>
    <w:rsid w:val="004E11F9"/>
    <w:rsid w:val="004E2630"/>
    <w:rsid w:val="004E4C1E"/>
    <w:rsid w:val="004E4E21"/>
    <w:rsid w:val="004E53BE"/>
    <w:rsid w:val="004E54EF"/>
    <w:rsid w:val="004E5640"/>
    <w:rsid w:val="004F11F0"/>
    <w:rsid w:val="004F22E5"/>
    <w:rsid w:val="004F248B"/>
    <w:rsid w:val="004F50BF"/>
    <w:rsid w:val="004F71C6"/>
    <w:rsid w:val="005000B4"/>
    <w:rsid w:val="00502EBC"/>
    <w:rsid w:val="005030E0"/>
    <w:rsid w:val="00504E72"/>
    <w:rsid w:val="00510129"/>
    <w:rsid w:val="00512DE6"/>
    <w:rsid w:val="00513A5E"/>
    <w:rsid w:val="005153F8"/>
    <w:rsid w:val="00516A71"/>
    <w:rsid w:val="00516E2A"/>
    <w:rsid w:val="00522651"/>
    <w:rsid w:val="00523055"/>
    <w:rsid w:val="00525A59"/>
    <w:rsid w:val="0052601C"/>
    <w:rsid w:val="005327DA"/>
    <w:rsid w:val="00533A75"/>
    <w:rsid w:val="00533D78"/>
    <w:rsid w:val="00535B19"/>
    <w:rsid w:val="00540F65"/>
    <w:rsid w:val="00540FED"/>
    <w:rsid w:val="005418B9"/>
    <w:rsid w:val="005449B9"/>
    <w:rsid w:val="00545AAB"/>
    <w:rsid w:val="00547308"/>
    <w:rsid w:val="00551DF6"/>
    <w:rsid w:val="00555602"/>
    <w:rsid w:val="00556F51"/>
    <w:rsid w:val="005602B8"/>
    <w:rsid w:val="00560CDE"/>
    <w:rsid w:val="00560D2B"/>
    <w:rsid w:val="0056320E"/>
    <w:rsid w:val="00564E3E"/>
    <w:rsid w:val="0057373E"/>
    <w:rsid w:val="005744D1"/>
    <w:rsid w:val="00575255"/>
    <w:rsid w:val="0058042E"/>
    <w:rsid w:val="0058105F"/>
    <w:rsid w:val="00582287"/>
    <w:rsid w:val="00582CD7"/>
    <w:rsid w:val="005871ED"/>
    <w:rsid w:val="00591F23"/>
    <w:rsid w:val="00592EA0"/>
    <w:rsid w:val="00595DC2"/>
    <w:rsid w:val="00596C42"/>
    <w:rsid w:val="005973F5"/>
    <w:rsid w:val="00597706"/>
    <w:rsid w:val="005A08CD"/>
    <w:rsid w:val="005A1539"/>
    <w:rsid w:val="005A375B"/>
    <w:rsid w:val="005A467A"/>
    <w:rsid w:val="005A493D"/>
    <w:rsid w:val="005A4C5B"/>
    <w:rsid w:val="005A6B63"/>
    <w:rsid w:val="005A73D3"/>
    <w:rsid w:val="005B188D"/>
    <w:rsid w:val="005B22B4"/>
    <w:rsid w:val="005B37B2"/>
    <w:rsid w:val="005B3C94"/>
    <w:rsid w:val="005B491A"/>
    <w:rsid w:val="005B75F7"/>
    <w:rsid w:val="005C00FD"/>
    <w:rsid w:val="005C274E"/>
    <w:rsid w:val="005C33D9"/>
    <w:rsid w:val="005C60FE"/>
    <w:rsid w:val="005C64B7"/>
    <w:rsid w:val="005C7AB9"/>
    <w:rsid w:val="005C7DE4"/>
    <w:rsid w:val="005D1BAA"/>
    <w:rsid w:val="005D2E13"/>
    <w:rsid w:val="005D3DB7"/>
    <w:rsid w:val="005D4C76"/>
    <w:rsid w:val="005D6355"/>
    <w:rsid w:val="005D6CCD"/>
    <w:rsid w:val="005E0646"/>
    <w:rsid w:val="005E178E"/>
    <w:rsid w:val="005E22F7"/>
    <w:rsid w:val="005E648F"/>
    <w:rsid w:val="005F1C82"/>
    <w:rsid w:val="005F4726"/>
    <w:rsid w:val="005F566F"/>
    <w:rsid w:val="005F710F"/>
    <w:rsid w:val="005F776D"/>
    <w:rsid w:val="005F7B86"/>
    <w:rsid w:val="00600AF2"/>
    <w:rsid w:val="006012A6"/>
    <w:rsid w:val="0060389B"/>
    <w:rsid w:val="00606F30"/>
    <w:rsid w:val="00611C0A"/>
    <w:rsid w:val="00612619"/>
    <w:rsid w:val="00612A62"/>
    <w:rsid w:val="00614B3B"/>
    <w:rsid w:val="0061695C"/>
    <w:rsid w:val="0061749E"/>
    <w:rsid w:val="00617B62"/>
    <w:rsid w:val="00624681"/>
    <w:rsid w:val="006301EB"/>
    <w:rsid w:val="00630C76"/>
    <w:rsid w:val="00630EEB"/>
    <w:rsid w:val="006325DD"/>
    <w:rsid w:val="006347DC"/>
    <w:rsid w:val="006356B2"/>
    <w:rsid w:val="00635D8B"/>
    <w:rsid w:val="0064307E"/>
    <w:rsid w:val="0064579F"/>
    <w:rsid w:val="0064661A"/>
    <w:rsid w:val="00647511"/>
    <w:rsid w:val="00647911"/>
    <w:rsid w:val="00647A07"/>
    <w:rsid w:val="0065061A"/>
    <w:rsid w:val="006517F5"/>
    <w:rsid w:val="006521A9"/>
    <w:rsid w:val="0065269A"/>
    <w:rsid w:val="00653551"/>
    <w:rsid w:val="00655D3C"/>
    <w:rsid w:val="006560AC"/>
    <w:rsid w:val="00657E0F"/>
    <w:rsid w:val="00661E56"/>
    <w:rsid w:val="006633B4"/>
    <w:rsid w:val="006653EE"/>
    <w:rsid w:val="00667109"/>
    <w:rsid w:val="0067051E"/>
    <w:rsid w:val="0067059D"/>
    <w:rsid w:val="00670B7C"/>
    <w:rsid w:val="00671D9E"/>
    <w:rsid w:val="00673CF9"/>
    <w:rsid w:val="0068010B"/>
    <w:rsid w:val="006810AC"/>
    <w:rsid w:val="00681833"/>
    <w:rsid w:val="00681DA8"/>
    <w:rsid w:val="00682455"/>
    <w:rsid w:val="006830ED"/>
    <w:rsid w:val="006906DF"/>
    <w:rsid w:val="00691E28"/>
    <w:rsid w:val="006A0BAB"/>
    <w:rsid w:val="006A0E47"/>
    <w:rsid w:val="006A111F"/>
    <w:rsid w:val="006A11B0"/>
    <w:rsid w:val="006A3171"/>
    <w:rsid w:val="006A481F"/>
    <w:rsid w:val="006A5355"/>
    <w:rsid w:val="006B2F8F"/>
    <w:rsid w:val="006B42A7"/>
    <w:rsid w:val="006B452D"/>
    <w:rsid w:val="006B7804"/>
    <w:rsid w:val="006B7A26"/>
    <w:rsid w:val="006C250A"/>
    <w:rsid w:val="006C7767"/>
    <w:rsid w:val="006D5A24"/>
    <w:rsid w:val="006D5B40"/>
    <w:rsid w:val="006D7DA6"/>
    <w:rsid w:val="006E09A6"/>
    <w:rsid w:val="006E0AE0"/>
    <w:rsid w:val="006E19A6"/>
    <w:rsid w:val="006E2226"/>
    <w:rsid w:val="006E241A"/>
    <w:rsid w:val="006E3638"/>
    <w:rsid w:val="006E49B2"/>
    <w:rsid w:val="006E5DC2"/>
    <w:rsid w:val="006E7D44"/>
    <w:rsid w:val="006F4327"/>
    <w:rsid w:val="006F5E57"/>
    <w:rsid w:val="006F6578"/>
    <w:rsid w:val="006F6D13"/>
    <w:rsid w:val="007050F5"/>
    <w:rsid w:val="00707752"/>
    <w:rsid w:val="00707C1A"/>
    <w:rsid w:val="00710F92"/>
    <w:rsid w:val="00712489"/>
    <w:rsid w:val="00720390"/>
    <w:rsid w:val="0072393E"/>
    <w:rsid w:val="007262D5"/>
    <w:rsid w:val="00726D47"/>
    <w:rsid w:val="00730C09"/>
    <w:rsid w:val="007349B0"/>
    <w:rsid w:val="00735A0D"/>
    <w:rsid w:val="00736828"/>
    <w:rsid w:val="007430A4"/>
    <w:rsid w:val="0074744F"/>
    <w:rsid w:val="0075024D"/>
    <w:rsid w:val="00750984"/>
    <w:rsid w:val="007530F5"/>
    <w:rsid w:val="0075317D"/>
    <w:rsid w:val="00753AB8"/>
    <w:rsid w:val="007544D6"/>
    <w:rsid w:val="00754842"/>
    <w:rsid w:val="00762154"/>
    <w:rsid w:val="0076321E"/>
    <w:rsid w:val="00767C1B"/>
    <w:rsid w:val="007770A5"/>
    <w:rsid w:val="0077757F"/>
    <w:rsid w:val="007804D1"/>
    <w:rsid w:val="007805C2"/>
    <w:rsid w:val="00781BC8"/>
    <w:rsid w:val="007820A8"/>
    <w:rsid w:val="00782C06"/>
    <w:rsid w:val="00784618"/>
    <w:rsid w:val="00790C9D"/>
    <w:rsid w:val="0079133C"/>
    <w:rsid w:val="00795C61"/>
    <w:rsid w:val="00796C12"/>
    <w:rsid w:val="007A6C7F"/>
    <w:rsid w:val="007B0A58"/>
    <w:rsid w:val="007B0C78"/>
    <w:rsid w:val="007B0F34"/>
    <w:rsid w:val="007B1015"/>
    <w:rsid w:val="007B2044"/>
    <w:rsid w:val="007B4B8E"/>
    <w:rsid w:val="007B4D68"/>
    <w:rsid w:val="007B5613"/>
    <w:rsid w:val="007B675F"/>
    <w:rsid w:val="007C11C8"/>
    <w:rsid w:val="007C3910"/>
    <w:rsid w:val="007C42DE"/>
    <w:rsid w:val="007C4345"/>
    <w:rsid w:val="007C4773"/>
    <w:rsid w:val="007D03BE"/>
    <w:rsid w:val="007D19AF"/>
    <w:rsid w:val="007D47F6"/>
    <w:rsid w:val="007D4ADA"/>
    <w:rsid w:val="007D50CB"/>
    <w:rsid w:val="007D5102"/>
    <w:rsid w:val="007D7163"/>
    <w:rsid w:val="007D78CD"/>
    <w:rsid w:val="007D7D68"/>
    <w:rsid w:val="007E05D6"/>
    <w:rsid w:val="007E1F42"/>
    <w:rsid w:val="007E396C"/>
    <w:rsid w:val="007E5C20"/>
    <w:rsid w:val="007E5DBA"/>
    <w:rsid w:val="007F052C"/>
    <w:rsid w:val="007F0C99"/>
    <w:rsid w:val="007F1B24"/>
    <w:rsid w:val="007F3F99"/>
    <w:rsid w:val="007F4120"/>
    <w:rsid w:val="008031F5"/>
    <w:rsid w:val="00803936"/>
    <w:rsid w:val="0080550E"/>
    <w:rsid w:val="00806EA2"/>
    <w:rsid w:val="008139B8"/>
    <w:rsid w:val="008172E9"/>
    <w:rsid w:val="0082075E"/>
    <w:rsid w:val="008209F3"/>
    <w:rsid w:val="00821706"/>
    <w:rsid w:val="00822729"/>
    <w:rsid w:val="008315DF"/>
    <w:rsid w:val="008373F3"/>
    <w:rsid w:val="0084037B"/>
    <w:rsid w:val="00843222"/>
    <w:rsid w:val="008439AF"/>
    <w:rsid w:val="0084459B"/>
    <w:rsid w:val="00846732"/>
    <w:rsid w:val="00850E7E"/>
    <w:rsid w:val="008534A7"/>
    <w:rsid w:val="0085413C"/>
    <w:rsid w:val="00854AC8"/>
    <w:rsid w:val="00856EA2"/>
    <w:rsid w:val="00860B7C"/>
    <w:rsid w:val="00860CA7"/>
    <w:rsid w:val="00860EAA"/>
    <w:rsid w:val="008616F5"/>
    <w:rsid w:val="00862597"/>
    <w:rsid w:val="008674C6"/>
    <w:rsid w:val="00872BA7"/>
    <w:rsid w:val="00873E14"/>
    <w:rsid w:val="008749DA"/>
    <w:rsid w:val="00874ADF"/>
    <w:rsid w:val="008800F5"/>
    <w:rsid w:val="00884D02"/>
    <w:rsid w:val="008901C7"/>
    <w:rsid w:val="008908F5"/>
    <w:rsid w:val="00892B7E"/>
    <w:rsid w:val="00895EAA"/>
    <w:rsid w:val="00896246"/>
    <w:rsid w:val="00896962"/>
    <w:rsid w:val="00897B6B"/>
    <w:rsid w:val="008A116D"/>
    <w:rsid w:val="008A14D7"/>
    <w:rsid w:val="008A39FC"/>
    <w:rsid w:val="008A5582"/>
    <w:rsid w:val="008A5724"/>
    <w:rsid w:val="008A648E"/>
    <w:rsid w:val="008A6F61"/>
    <w:rsid w:val="008B0EAE"/>
    <w:rsid w:val="008B228A"/>
    <w:rsid w:val="008B2C9D"/>
    <w:rsid w:val="008B536E"/>
    <w:rsid w:val="008C1249"/>
    <w:rsid w:val="008C2E0B"/>
    <w:rsid w:val="008C4475"/>
    <w:rsid w:val="008C59CF"/>
    <w:rsid w:val="008C5E27"/>
    <w:rsid w:val="008D0F58"/>
    <w:rsid w:val="008D143A"/>
    <w:rsid w:val="008D1587"/>
    <w:rsid w:val="008D1DA8"/>
    <w:rsid w:val="008D4628"/>
    <w:rsid w:val="008D7282"/>
    <w:rsid w:val="008E1380"/>
    <w:rsid w:val="008E213D"/>
    <w:rsid w:val="008E312E"/>
    <w:rsid w:val="008E39E1"/>
    <w:rsid w:val="008E408F"/>
    <w:rsid w:val="008E4106"/>
    <w:rsid w:val="008E670A"/>
    <w:rsid w:val="008E6A30"/>
    <w:rsid w:val="008F3977"/>
    <w:rsid w:val="008F6440"/>
    <w:rsid w:val="008F767B"/>
    <w:rsid w:val="00901E15"/>
    <w:rsid w:val="009034DA"/>
    <w:rsid w:val="0090507E"/>
    <w:rsid w:val="00912409"/>
    <w:rsid w:val="00914B75"/>
    <w:rsid w:val="00915232"/>
    <w:rsid w:val="00920ED2"/>
    <w:rsid w:val="009225FF"/>
    <w:rsid w:val="009226E6"/>
    <w:rsid w:val="00923435"/>
    <w:rsid w:val="00924695"/>
    <w:rsid w:val="009251C2"/>
    <w:rsid w:val="009266FC"/>
    <w:rsid w:val="00927691"/>
    <w:rsid w:val="009300C8"/>
    <w:rsid w:val="00930E11"/>
    <w:rsid w:val="00932421"/>
    <w:rsid w:val="00933BA1"/>
    <w:rsid w:val="0093698B"/>
    <w:rsid w:val="00937F89"/>
    <w:rsid w:val="00940F36"/>
    <w:rsid w:val="0094233A"/>
    <w:rsid w:val="00942D7D"/>
    <w:rsid w:val="00944072"/>
    <w:rsid w:val="009444AF"/>
    <w:rsid w:val="009467FF"/>
    <w:rsid w:val="009513CC"/>
    <w:rsid w:val="0095238B"/>
    <w:rsid w:val="009525ED"/>
    <w:rsid w:val="00954ED6"/>
    <w:rsid w:val="00955119"/>
    <w:rsid w:val="009561EE"/>
    <w:rsid w:val="00957DDA"/>
    <w:rsid w:val="00962DC0"/>
    <w:rsid w:val="0096351E"/>
    <w:rsid w:val="00974C4C"/>
    <w:rsid w:val="00976042"/>
    <w:rsid w:val="00977C1E"/>
    <w:rsid w:val="00981516"/>
    <w:rsid w:val="00981E3E"/>
    <w:rsid w:val="009822CB"/>
    <w:rsid w:val="00984B6B"/>
    <w:rsid w:val="00984C2D"/>
    <w:rsid w:val="0098570D"/>
    <w:rsid w:val="0098619F"/>
    <w:rsid w:val="00986B96"/>
    <w:rsid w:val="009902ED"/>
    <w:rsid w:val="00990B7F"/>
    <w:rsid w:val="00992333"/>
    <w:rsid w:val="00994238"/>
    <w:rsid w:val="00994CAD"/>
    <w:rsid w:val="00995920"/>
    <w:rsid w:val="00997DA6"/>
    <w:rsid w:val="009A0F07"/>
    <w:rsid w:val="009A2899"/>
    <w:rsid w:val="009A2C4A"/>
    <w:rsid w:val="009A2DB1"/>
    <w:rsid w:val="009A3ED4"/>
    <w:rsid w:val="009A4DEF"/>
    <w:rsid w:val="009A5F3C"/>
    <w:rsid w:val="009A6B34"/>
    <w:rsid w:val="009B18FD"/>
    <w:rsid w:val="009B2267"/>
    <w:rsid w:val="009B2435"/>
    <w:rsid w:val="009B3060"/>
    <w:rsid w:val="009B63B1"/>
    <w:rsid w:val="009C4205"/>
    <w:rsid w:val="009C43BF"/>
    <w:rsid w:val="009C5532"/>
    <w:rsid w:val="009C5F2F"/>
    <w:rsid w:val="009D1471"/>
    <w:rsid w:val="009D240D"/>
    <w:rsid w:val="009D2B97"/>
    <w:rsid w:val="009D4ACF"/>
    <w:rsid w:val="009D5DD0"/>
    <w:rsid w:val="009D60F5"/>
    <w:rsid w:val="009D79A0"/>
    <w:rsid w:val="009D7F20"/>
    <w:rsid w:val="009E1F14"/>
    <w:rsid w:val="009E237D"/>
    <w:rsid w:val="009E3A7D"/>
    <w:rsid w:val="009E5F9F"/>
    <w:rsid w:val="009E6148"/>
    <w:rsid w:val="009F149A"/>
    <w:rsid w:val="009F2435"/>
    <w:rsid w:val="009F5706"/>
    <w:rsid w:val="009F5D20"/>
    <w:rsid w:val="009F633F"/>
    <w:rsid w:val="009F7205"/>
    <w:rsid w:val="00A021BF"/>
    <w:rsid w:val="00A035C8"/>
    <w:rsid w:val="00A04455"/>
    <w:rsid w:val="00A06A87"/>
    <w:rsid w:val="00A06DF2"/>
    <w:rsid w:val="00A079F2"/>
    <w:rsid w:val="00A12D22"/>
    <w:rsid w:val="00A12F68"/>
    <w:rsid w:val="00A13356"/>
    <w:rsid w:val="00A16A13"/>
    <w:rsid w:val="00A16CC0"/>
    <w:rsid w:val="00A1728B"/>
    <w:rsid w:val="00A228C1"/>
    <w:rsid w:val="00A22D89"/>
    <w:rsid w:val="00A23A1E"/>
    <w:rsid w:val="00A243AB"/>
    <w:rsid w:val="00A25124"/>
    <w:rsid w:val="00A2596F"/>
    <w:rsid w:val="00A25C87"/>
    <w:rsid w:val="00A2615B"/>
    <w:rsid w:val="00A27597"/>
    <w:rsid w:val="00A30BFF"/>
    <w:rsid w:val="00A31C7E"/>
    <w:rsid w:val="00A3335F"/>
    <w:rsid w:val="00A37C7D"/>
    <w:rsid w:val="00A40EB7"/>
    <w:rsid w:val="00A41BFF"/>
    <w:rsid w:val="00A43736"/>
    <w:rsid w:val="00A46561"/>
    <w:rsid w:val="00A472EA"/>
    <w:rsid w:val="00A47A1F"/>
    <w:rsid w:val="00A509D9"/>
    <w:rsid w:val="00A50B77"/>
    <w:rsid w:val="00A55509"/>
    <w:rsid w:val="00A558C0"/>
    <w:rsid w:val="00A55ED1"/>
    <w:rsid w:val="00A6427B"/>
    <w:rsid w:val="00A756D4"/>
    <w:rsid w:val="00A769AD"/>
    <w:rsid w:val="00A800C8"/>
    <w:rsid w:val="00A80FB8"/>
    <w:rsid w:val="00A846BE"/>
    <w:rsid w:val="00A871D6"/>
    <w:rsid w:val="00A911C9"/>
    <w:rsid w:val="00A926DA"/>
    <w:rsid w:val="00A94D7D"/>
    <w:rsid w:val="00A9540D"/>
    <w:rsid w:val="00AA0AD7"/>
    <w:rsid w:val="00AA1A91"/>
    <w:rsid w:val="00AA46E6"/>
    <w:rsid w:val="00AA5592"/>
    <w:rsid w:val="00AB23B2"/>
    <w:rsid w:val="00AB4DEE"/>
    <w:rsid w:val="00AB6701"/>
    <w:rsid w:val="00AC397F"/>
    <w:rsid w:val="00AC492D"/>
    <w:rsid w:val="00AD1BCC"/>
    <w:rsid w:val="00AD29F7"/>
    <w:rsid w:val="00AD31C8"/>
    <w:rsid w:val="00AD60EB"/>
    <w:rsid w:val="00AE1D2A"/>
    <w:rsid w:val="00AE7F12"/>
    <w:rsid w:val="00AF17FD"/>
    <w:rsid w:val="00AF204E"/>
    <w:rsid w:val="00AF3016"/>
    <w:rsid w:val="00AF33BA"/>
    <w:rsid w:val="00AF3586"/>
    <w:rsid w:val="00AF552B"/>
    <w:rsid w:val="00AF60B0"/>
    <w:rsid w:val="00AF64DE"/>
    <w:rsid w:val="00AF6BDE"/>
    <w:rsid w:val="00AF75A3"/>
    <w:rsid w:val="00B00FC1"/>
    <w:rsid w:val="00B01E01"/>
    <w:rsid w:val="00B021B7"/>
    <w:rsid w:val="00B0267B"/>
    <w:rsid w:val="00B05599"/>
    <w:rsid w:val="00B120EC"/>
    <w:rsid w:val="00B1211C"/>
    <w:rsid w:val="00B136AF"/>
    <w:rsid w:val="00B177D0"/>
    <w:rsid w:val="00B20E09"/>
    <w:rsid w:val="00B21782"/>
    <w:rsid w:val="00B22401"/>
    <w:rsid w:val="00B245C2"/>
    <w:rsid w:val="00B25F49"/>
    <w:rsid w:val="00B264E3"/>
    <w:rsid w:val="00B27664"/>
    <w:rsid w:val="00B43F9A"/>
    <w:rsid w:val="00B44563"/>
    <w:rsid w:val="00B501E4"/>
    <w:rsid w:val="00B50ADD"/>
    <w:rsid w:val="00B5326C"/>
    <w:rsid w:val="00B55342"/>
    <w:rsid w:val="00B5537A"/>
    <w:rsid w:val="00B56D7C"/>
    <w:rsid w:val="00B56ECF"/>
    <w:rsid w:val="00B62137"/>
    <w:rsid w:val="00B64D28"/>
    <w:rsid w:val="00B67599"/>
    <w:rsid w:val="00B6764A"/>
    <w:rsid w:val="00B7014A"/>
    <w:rsid w:val="00B70295"/>
    <w:rsid w:val="00B70CF7"/>
    <w:rsid w:val="00B72172"/>
    <w:rsid w:val="00B7344E"/>
    <w:rsid w:val="00B745A0"/>
    <w:rsid w:val="00B74DFB"/>
    <w:rsid w:val="00B75A96"/>
    <w:rsid w:val="00B81449"/>
    <w:rsid w:val="00B87B2E"/>
    <w:rsid w:val="00B90D9D"/>
    <w:rsid w:val="00B91654"/>
    <w:rsid w:val="00B91C02"/>
    <w:rsid w:val="00B92621"/>
    <w:rsid w:val="00B92D52"/>
    <w:rsid w:val="00B944A3"/>
    <w:rsid w:val="00BA08C1"/>
    <w:rsid w:val="00BA2856"/>
    <w:rsid w:val="00BA29CC"/>
    <w:rsid w:val="00BA786D"/>
    <w:rsid w:val="00BA78DA"/>
    <w:rsid w:val="00BB0058"/>
    <w:rsid w:val="00BB0F00"/>
    <w:rsid w:val="00BB3BD6"/>
    <w:rsid w:val="00BB5182"/>
    <w:rsid w:val="00BB5DB1"/>
    <w:rsid w:val="00BC1D22"/>
    <w:rsid w:val="00BC3617"/>
    <w:rsid w:val="00BC799D"/>
    <w:rsid w:val="00BD3E66"/>
    <w:rsid w:val="00BD7006"/>
    <w:rsid w:val="00BE4208"/>
    <w:rsid w:val="00BF09B7"/>
    <w:rsid w:val="00BF1AAB"/>
    <w:rsid w:val="00BF539A"/>
    <w:rsid w:val="00BF583F"/>
    <w:rsid w:val="00BF7621"/>
    <w:rsid w:val="00C016F1"/>
    <w:rsid w:val="00C0473A"/>
    <w:rsid w:val="00C053CD"/>
    <w:rsid w:val="00C07E3D"/>
    <w:rsid w:val="00C110F4"/>
    <w:rsid w:val="00C132E9"/>
    <w:rsid w:val="00C14EE0"/>
    <w:rsid w:val="00C158A1"/>
    <w:rsid w:val="00C23087"/>
    <w:rsid w:val="00C2479F"/>
    <w:rsid w:val="00C26A19"/>
    <w:rsid w:val="00C26A36"/>
    <w:rsid w:val="00C31E89"/>
    <w:rsid w:val="00C373C0"/>
    <w:rsid w:val="00C40125"/>
    <w:rsid w:val="00C40832"/>
    <w:rsid w:val="00C41672"/>
    <w:rsid w:val="00C41E97"/>
    <w:rsid w:val="00C42D19"/>
    <w:rsid w:val="00C42F65"/>
    <w:rsid w:val="00C457BE"/>
    <w:rsid w:val="00C47E0B"/>
    <w:rsid w:val="00C47E94"/>
    <w:rsid w:val="00C512EF"/>
    <w:rsid w:val="00C52374"/>
    <w:rsid w:val="00C52B91"/>
    <w:rsid w:val="00C55B24"/>
    <w:rsid w:val="00C6216D"/>
    <w:rsid w:val="00C62AFE"/>
    <w:rsid w:val="00C62CB3"/>
    <w:rsid w:val="00C6630D"/>
    <w:rsid w:val="00C67B50"/>
    <w:rsid w:val="00C71C41"/>
    <w:rsid w:val="00C72A22"/>
    <w:rsid w:val="00C74CAE"/>
    <w:rsid w:val="00C74D00"/>
    <w:rsid w:val="00C80616"/>
    <w:rsid w:val="00C82D30"/>
    <w:rsid w:val="00C841D7"/>
    <w:rsid w:val="00C857B3"/>
    <w:rsid w:val="00C872D4"/>
    <w:rsid w:val="00C87570"/>
    <w:rsid w:val="00C87639"/>
    <w:rsid w:val="00C91653"/>
    <w:rsid w:val="00C9610B"/>
    <w:rsid w:val="00C962C6"/>
    <w:rsid w:val="00C9666B"/>
    <w:rsid w:val="00C96683"/>
    <w:rsid w:val="00C97584"/>
    <w:rsid w:val="00C97633"/>
    <w:rsid w:val="00C97877"/>
    <w:rsid w:val="00CA0353"/>
    <w:rsid w:val="00CA084C"/>
    <w:rsid w:val="00CA15BF"/>
    <w:rsid w:val="00CA34B7"/>
    <w:rsid w:val="00CA3FAF"/>
    <w:rsid w:val="00CA68AF"/>
    <w:rsid w:val="00CA6AC9"/>
    <w:rsid w:val="00CB13A6"/>
    <w:rsid w:val="00CB2D0C"/>
    <w:rsid w:val="00CB37D9"/>
    <w:rsid w:val="00CB5751"/>
    <w:rsid w:val="00CB5CE9"/>
    <w:rsid w:val="00CB6612"/>
    <w:rsid w:val="00CC122C"/>
    <w:rsid w:val="00CC3801"/>
    <w:rsid w:val="00CC3A44"/>
    <w:rsid w:val="00CC4E17"/>
    <w:rsid w:val="00CC4F36"/>
    <w:rsid w:val="00CC5256"/>
    <w:rsid w:val="00CC5B17"/>
    <w:rsid w:val="00CC7C4B"/>
    <w:rsid w:val="00CD14AA"/>
    <w:rsid w:val="00CD1518"/>
    <w:rsid w:val="00CD586B"/>
    <w:rsid w:val="00CD6072"/>
    <w:rsid w:val="00CD6337"/>
    <w:rsid w:val="00CD6F74"/>
    <w:rsid w:val="00CE02B7"/>
    <w:rsid w:val="00CE5385"/>
    <w:rsid w:val="00CE541E"/>
    <w:rsid w:val="00CE57C0"/>
    <w:rsid w:val="00CE750C"/>
    <w:rsid w:val="00CF6D32"/>
    <w:rsid w:val="00CF783D"/>
    <w:rsid w:val="00D00C7A"/>
    <w:rsid w:val="00D03051"/>
    <w:rsid w:val="00D043CA"/>
    <w:rsid w:val="00D05418"/>
    <w:rsid w:val="00D05EEC"/>
    <w:rsid w:val="00D10600"/>
    <w:rsid w:val="00D1287A"/>
    <w:rsid w:val="00D13788"/>
    <w:rsid w:val="00D15071"/>
    <w:rsid w:val="00D1604D"/>
    <w:rsid w:val="00D16847"/>
    <w:rsid w:val="00D20719"/>
    <w:rsid w:val="00D2174D"/>
    <w:rsid w:val="00D2206F"/>
    <w:rsid w:val="00D2211E"/>
    <w:rsid w:val="00D22A66"/>
    <w:rsid w:val="00D23083"/>
    <w:rsid w:val="00D2319C"/>
    <w:rsid w:val="00D2465A"/>
    <w:rsid w:val="00D25EA0"/>
    <w:rsid w:val="00D2607B"/>
    <w:rsid w:val="00D263B2"/>
    <w:rsid w:val="00D27B12"/>
    <w:rsid w:val="00D303CC"/>
    <w:rsid w:val="00D32AB2"/>
    <w:rsid w:val="00D33037"/>
    <w:rsid w:val="00D34A13"/>
    <w:rsid w:val="00D35547"/>
    <w:rsid w:val="00D364A8"/>
    <w:rsid w:val="00D401B7"/>
    <w:rsid w:val="00D403F4"/>
    <w:rsid w:val="00D4285C"/>
    <w:rsid w:val="00D44376"/>
    <w:rsid w:val="00D45080"/>
    <w:rsid w:val="00D47775"/>
    <w:rsid w:val="00D47814"/>
    <w:rsid w:val="00D50D95"/>
    <w:rsid w:val="00D51981"/>
    <w:rsid w:val="00D55A8A"/>
    <w:rsid w:val="00D57C9B"/>
    <w:rsid w:val="00D6055B"/>
    <w:rsid w:val="00D60ACB"/>
    <w:rsid w:val="00D60C20"/>
    <w:rsid w:val="00D61233"/>
    <w:rsid w:val="00D639F5"/>
    <w:rsid w:val="00D66E2A"/>
    <w:rsid w:val="00D6769B"/>
    <w:rsid w:val="00D71DFA"/>
    <w:rsid w:val="00D728B4"/>
    <w:rsid w:val="00D73BFB"/>
    <w:rsid w:val="00D74CFE"/>
    <w:rsid w:val="00D758BF"/>
    <w:rsid w:val="00D80594"/>
    <w:rsid w:val="00D8102E"/>
    <w:rsid w:val="00D81871"/>
    <w:rsid w:val="00D86BEA"/>
    <w:rsid w:val="00D90282"/>
    <w:rsid w:val="00D920A8"/>
    <w:rsid w:val="00D926EA"/>
    <w:rsid w:val="00D939A7"/>
    <w:rsid w:val="00D964D8"/>
    <w:rsid w:val="00D97B13"/>
    <w:rsid w:val="00DA0EF5"/>
    <w:rsid w:val="00DA7C02"/>
    <w:rsid w:val="00DB05E9"/>
    <w:rsid w:val="00DB1840"/>
    <w:rsid w:val="00DB1FC1"/>
    <w:rsid w:val="00DB3DC1"/>
    <w:rsid w:val="00DB748D"/>
    <w:rsid w:val="00DC1C09"/>
    <w:rsid w:val="00DC2C23"/>
    <w:rsid w:val="00DC6E3C"/>
    <w:rsid w:val="00DD0525"/>
    <w:rsid w:val="00DD1060"/>
    <w:rsid w:val="00DD4B8B"/>
    <w:rsid w:val="00DD7C7B"/>
    <w:rsid w:val="00DE4537"/>
    <w:rsid w:val="00DE5001"/>
    <w:rsid w:val="00DF0A5E"/>
    <w:rsid w:val="00DF23F4"/>
    <w:rsid w:val="00DF5EA4"/>
    <w:rsid w:val="00DF6864"/>
    <w:rsid w:val="00E02213"/>
    <w:rsid w:val="00E04602"/>
    <w:rsid w:val="00E04C06"/>
    <w:rsid w:val="00E0601C"/>
    <w:rsid w:val="00E11275"/>
    <w:rsid w:val="00E11ABE"/>
    <w:rsid w:val="00E11B87"/>
    <w:rsid w:val="00E165EA"/>
    <w:rsid w:val="00E176F2"/>
    <w:rsid w:val="00E221BC"/>
    <w:rsid w:val="00E22549"/>
    <w:rsid w:val="00E26A27"/>
    <w:rsid w:val="00E26DAB"/>
    <w:rsid w:val="00E34B66"/>
    <w:rsid w:val="00E4149C"/>
    <w:rsid w:val="00E459B0"/>
    <w:rsid w:val="00E45EA1"/>
    <w:rsid w:val="00E473A2"/>
    <w:rsid w:val="00E5648F"/>
    <w:rsid w:val="00E56EF7"/>
    <w:rsid w:val="00E62B32"/>
    <w:rsid w:val="00E633A6"/>
    <w:rsid w:val="00E63F2F"/>
    <w:rsid w:val="00E65199"/>
    <w:rsid w:val="00E67BA1"/>
    <w:rsid w:val="00E71741"/>
    <w:rsid w:val="00E7185F"/>
    <w:rsid w:val="00E72CBF"/>
    <w:rsid w:val="00E72FF3"/>
    <w:rsid w:val="00E801F2"/>
    <w:rsid w:val="00E81D3E"/>
    <w:rsid w:val="00E92EB4"/>
    <w:rsid w:val="00E93E00"/>
    <w:rsid w:val="00E940F2"/>
    <w:rsid w:val="00EA14A4"/>
    <w:rsid w:val="00EA232A"/>
    <w:rsid w:val="00EA30BC"/>
    <w:rsid w:val="00EA5583"/>
    <w:rsid w:val="00EB0BAF"/>
    <w:rsid w:val="00EB0CDD"/>
    <w:rsid w:val="00EB2922"/>
    <w:rsid w:val="00EB2F1B"/>
    <w:rsid w:val="00EB379A"/>
    <w:rsid w:val="00EC07D2"/>
    <w:rsid w:val="00EC1EA9"/>
    <w:rsid w:val="00EC2AFA"/>
    <w:rsid w:val="00EC2EF0"/>
    <w:rsid w:val="00EC42F4"/>
    <w:rsid w:val="00ED4FFC"/>
    <w:rsid w:val="00ED5C53"/>
    <w:rsid w:val="00ED5EEC"/>
    <w:rsid w:val="00ED710C"/>
    <w:rsid w:val="00ED7EE1"/>
    <w:rsid w:val="00ED7F08"/>
    <w:rsid w:val="00EE431E"/>
    <w:rsid w:val="00EE6B2E"/>
    <w:rsid w:val="00EE6DAC"/>
    <w:rsid w:val="00EE6F20"/>
    <w:rsid w:val="00EE6F74"/>
    <w:rsid w:val="00EF16B2"/>
    <w:rsid w:val="00EF1BC8"/>
    <w:rsid w:val="00EF2D94"/>
    <w:rsid w:val="00F00B88"/>
    <w:rsid w:val="00F034DC"/>
    <w:rsid w:val="00F03844"/>
    <w:rsid w:val="00F04E84"/>
    <w:rsid w:val="00F06738"/>
    <w:rsid w:val="00F10C3D"/>
    <w:rsid w:val="00F11A80"/>
    <w:rsid w:val="00F125D4"/>
    <w:rsid w:val="00F13FEC"/>
    <w:rsid w:val="00F14E6B"/>
    <w:rsid w:val="00F166A7"/>
    <w:rsid w:val="00F2067B"/>
    <w:rsid w:val="00F206D5"/>
    <w:rsid w:val="00F20A69"/>
    <w:rsid w:val="00F20B9E"/>
    <w:rsid w:val="00F23757"/>
    <w:rsid w:val="00F24218"/>
    <w:rsid w:val="00F25AB6"/>
    <w:rsid w:val="00F2624F"/>
    <w:rsid w:val="00F263D2"/>
    <w:rsid w:val="00F26BD0"/>
    <w:rsid w:val="00F27C75"/>
    <w:rsid w:val="00F3161A"/>
    <w:rsid w:val="00F42808"/>
    <w:rsid w:val="00F42A93"/>
    <w:rsid w:val="00F44281"/>
    <w:rsid w:val="00F500E5"/>
    <w:rsid w:val="00F52723"/>
    <w:rsid w:val="00F527F0"/>
    <w:rsid w:val="00F52E23"/>
    <w:rsid w:val="00F55804"/>
    <w:rsid w:val="00F56C4D"/>
    <w:rsid w:val="00F6070F"/>
    <w:rsid w:val="00F61A30"/>
    <w:rsid w:val="00F67377"/>
    <w:rsid w:val="00F70243"/>
    <w:rsid w:val="00F72378"/>
    <w:rsid w:val="00F727E8"/>
    <w:rsid w:val="00F77603"/>
    <w:rsid w:val="00F77E7A"/>
    <w:rsid w:val="00F8251A"/>
    <w:rsid w:val="00F8445A"/>
    <w:rsid w:val="00F87121"/>
    <w:rsid w:val="00F87AF7"/>
    <w:rsid w:val="00F93BD6"/>
    <w:rsid w:val="00F94F9D"/>
    <w:rsid w:val="00F9545F"/>
    <w:rsid w:val="00F95ABE"/>
    <w:rsid w:val="00F95C4C"/>
    <w:rsid w:val="00F96EE2"/>
    <w:rsid w:val="00F978E9"/>
    <w:rsid w:val="00FA058D"/>
    <w:rsid w:val="00FA30DF"/>
    <w:rsid w:val="00FA3B15"/>
    <w:rsid w:val="00FA4979"/>
    <w:rsid w:val="00FA704E"/>
    <w:rsid w:val="00FA77E3"/>
    <w:rsid w:val="00FB12F1"/>
    <w:rsid w:val="00FB2E6D"/>
    <w:rsid w:val="00FB4782"/>
    <w:rsid w:val="00FB4F5F"/>
    <w:rsid w:val="00FB55E1"/>
    <w:rsid w:val="00FC15AD"/>
    <w:rsid w:val="00FC15FF"/>
    <w:rsid w:val="00FC446B"/>
    <w:rsid w:val="00FC72D8"/>
    <w:rsid w:val="00FD4A06"/>
    <w:rsid w:val="00FD5B2C"/>
    <w:rsid w:val="00FD616F"/>
    <w:rsid w:val="00FD7AEE"/>
    <w:rsid w:val="00FE1127"/>
    <w:rsid w:val="00FE1424"/>
    <w:rsid w:val="00FE3459"/>
    <w:rsid w:val="00FE4CCC"/>
    <w:rsid w:val="00FE78C7"/>
    <w:rsid w:val="00FF392F"/>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0BB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79F"/>
    <w:pPr>
      <w:autoSpaceDE w:val="0"/>
      <w:autoSpaceDN w:val="0"/>
      <w:adjustRightInd w:val="0"/>
    </w:pPr>
    <w:rPr>
      <w:color w:val="000000"/>
      <w:sz w:val="24"/>
      <w:szCs w:val="24"/>
    </w:rPr>
  </w:style>
  <w:style w:type="table" w:styleId="TableGrid">
    <w:name w:val="Table Grid"/>
    <w:basedOn w:val="TableNormal"/>
    <w:rsid w:val="00C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4475"/>
    <w:pPr>
      <w:tabs>
        <w:tab w:val="center" w:pos="4320"/>
        <w:tab w:val="right" w:pos="8640"/>
      </w:tabs>
    </w:pPr>
  </w:style>
  <w:style w:type="paragraph" w:styleId="Footer">
    <w:name w:val="footer"/>
    <w:basedOn w:val="Normal"/>
    <w:link w:val="FooterChar"/>
    <w:uiPriority w:val="99"/>
    <w:rsid w:val="008C4475"/>
    <w:pPr>
      <w:tabs>
        <w:tab w:val="center" w:pos="4320"/>
        <w:tab w:val="right" w:pos="8640"/>
      </w:tabs>
    </w:pPr>
  </w:style>
  <w:style w:type="character" w:styleId="PageNumber">
    <w:name w:val="page number"/>
    <w:basedOn w:val="DefaultParagraphFont"/>
    <w:rsid w:val="008C4475"/>
  </w:style>
  <w:style w:type="paragraph" w:styleId="BalloonText">
    <w:name w:val="Balloon Text"/>
    <w:basedOn w:val="Normal"/>
    <w:link w:val="BalloonTextChar"/>
    <w:uiPriority w:val="99"/>
    <w:semiHidden/>
    <w:unhideWhenUsed/>
    <w:rsid w:val="001F5286"/>
    <w:rPr>
      <w:rFonts w:ascii="Tahoma" w:hAnsi="Tahoma" w:cs="Tahoma"/>
      <w:sz w:val="16"/>
      <w:szCs w:val="16"/>
    </w:rPr>
  </w:style>
  <w:style w:type="character" w:customStyle="1" w:styleId="BalloonTextChar">
    <w:name w:val="Balloon Text Char"/>
    <w:link w:val="BalloonText"/>
    <w:uiPriority w:val="99"/>
    <w:semiHidden/>
    <w:rsid w:val="001F5286"/>
    <w:rPr>
      <w:rFonts w:ascii="Tahoma" w:hAnsi="Tahoma" w:cs="Tahoma"/>
      <w:sz w:val="16"/>
      <w:szCs w:val="16"/>
      <w:lang w:val="en-US"/>
    </w:rPr>
  </w:style>
  <w:style w:type="paragraph" w:styleId="ListParagraph">
    <w:name w:val="List Paragraph"/>
    <w:basedOn w:val="Normal"/>
    <w:uiPriority w:val="34"/>
    <w:qFormat/>
    <w:rsid w:val="00F56C4D"/>
    <w:pPr>
      <w:ind w:left="720"/>
      <w:contextualSpacing/>
    </w:pPr>
  </w:style>
  <w:style w:type="character" w:styleId="CommentReference">
    <w:name w:val="annotation reference"/>
    <w:uiPriority w:val="99"/>
    <w:semiHidden/>
    <w:unhideWhenUsed/>
    <w:rsid w:val="00D55A8A"/>
    <w:rPr>
      <w:sz w:val="21"/>
      <w:szCs w:val="21"/>
    </w:rPr>
  </w:style>
  <w:style w:type="paragraph" w:styleId="CommentText">
    <w:name w:val="annotation text"/>
    <w:basedOn w:val="Normal"/>
    <w:link w:val="CommentTextChar"/>
    <w:uiPriority w:val="99"/>
    <w:semiHidden/>
    <w:unhideWhenUsed/>
    <w:rsid w:val="00D55A8A"/>
  </w:style>
  <w:style w:type="character" w:customStyle="1" w:styleId="CommentTextChar">
    <w:name w:val="Comment Text Char"/>
    <w:link w:val="CommentText"/>
    <w:uiPriority w:val="99"/>
    <w:semiHidden/>
    <w:rsid w:val="00D55A8A"/>
    <w:rPr>
      <w:sz w:val="24"/>
      <w:szCs w:val="24"/>
      <w:lang w:val="en-US"/>
    </w:rPr>
  </w:style>
  <w:style w:type="paragraph" w:styleId="CommentSubject">
    <w:name w:val="annotation subject"/>
    <w:basedOn w:val="CommentText"/>
    <w:next w:val="CommentText"/>
    <w:link w:val="CommentSubjectChar"/>
    <w:uiPriority w:val="99"/>
    <w:semiHidden/>
    <w:unhideWhenUsed/>
    <w:rsid w:val="00D55A8A"/>
    <w:rPr>
      <w:b/>
      <w:bCs/>
    </w:rPr>
  </w:style>
  <w:style w:type="character" w:customStyle="1" w:styleId="CommentSubjectChar">
    <w:name w:val="Comment Subject Char"/>
    <w:link w:val="CommentSubject"/>
    <w:uiPriority w:val="99"/>
    <w:semiHidden/>
    <w:rsid w:val="00D55A8A"/>
    <w:rPr>
      <w:b/>
      <w:bCs/>
      <w:sz w:val="24"/>
      <w:szCs w:val="24"/>
      <w:lang w:val="en-US"/>
    </w:rPr>
  </w:style>
  <w:style w:type="character" w:customStyle="1" w:styleId="FooterChar">
    <w:name w:val="Footer Char"/>
    <w:link w:val="Footer"/>
    <w:uiPriority w:val="99"/>
    <w:rsid w:val="00106AF0"/>
    <w:rPr>
      <w:sz w:val="24"/>
      <w:szCs w:val="24"/>
      <w:lang w:val="en-US"/>
    </w:rPr>
  </w:style>
  <w:style w:type="table" w:customStyle="1" w:styleId="1">
    <w:name w:val="表格格線1"/>
    <w:basedOn w:val="TableNormal"/>
    <w:next w:val="TableGrid"/>
    <w:rsid w:val="00F13FEC"/>
    <w:rPr>
      <w:rFonts w:cs="Simplified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510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2F62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629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237">
      <w:bodyDiv w:val="1"/>
      <w:marLeft w:val="0"/>
      <w:marRight w:val="0"/>
      <w:marTop w:val="0"/>
      <w:marBottom w:val="0"/>
      <w:divBdr>
        <w:top w:val="none" w:sz="0" w:space="0" w:color="auto"/>
        <w:left w:val="none" w:sz="0" w:space="0" w:color="auto"/>
        <w:bottom w:val="none" w:sz="0" w:space="0" w:color="auto"/>
        <w:right w:val="none" w:sz="0" w:space="0" w:color="auto"/>
      </w:divBdr>
    </w:div>
    <w:div w:id="176820123">
      <w:bodyDiv w:val="1"/>
      <w:marLeft w:val="0"/>
      <w:marRight w:val="0"/>
      <w:marTop w:val="0"/>
      <w:marBottom w:val="0"/>
      <w:divBdr>
        <w:top w:val="none" w:sz="0" w:space="0" w:color="auto"/>
        <w:left w:val="none" w:sz="0" w:space="0" w:color="auto"/>
        <w:bottom w:val="none" w:sz="0" w:space="0" w:color="auto"/>
        <w:right w:val="none" w:sz="0" w:space="0" w:color="auto"/>
      </w:divBdr>
    </w:div>
    <w:div w:id="479345240">
      <w:bodyDiv w:val="1"/>
      <w:marLeft w:val="0"/>
      <w:marRight w:val="0"/>
      <w:marTop w:val="0"/>
      <w:marBottom w:val="0"/>
      <w:divBdr>
        <w:top w:val="none" w:sz="0" w:space="0" w:color="auto"/>
        <w:left w:val="none" w:sz="0" w:space="0" w:color="auto"/>
        <w:bottom w:val="none" w:sz="0" w:space="0" w:color="auto"/>
        <w:right w:val="none" w:sz="0" w:space="0" w:color="auto"/>
      </w:divBdr>
    </w:div>
    <w:div w:id="1496065688">
      <w:bodyDiv w:val="1"/>
      <w:marLeft w:val="0"/>
      <w:marRight w:val="0"/>
      <w:marTop w:val="0"/>
      <w:marBottom w:val="0"/>
      <w:divBdr>
        <w:top w:val="none" w:sz="0" w:space="0" w:color="auto"/>
        <w:left w:val="none" w:sz="0" w:space="0" w:color="auto"/>
        <w:bottom w:val="none" w:sz="0" w:space="0" w:color="auto"/>
        <w:right w:val="none" w:sz="0" w:space="0" w:color="auto"/>
      </w:divBdr>
    </w:div>
    <w:div w:id="1542356942">
      <w:bodyDiv w:val="1"/>
      <w:marLeft w:val="0"/>
      <w:marRight w:val="0"/>
      <w:marTop w:val="0"/>
      <w:marBottom w:val="0"/>
      <w:divBdr>
        <w:top w:val="none" w:sz="0" w:space="0" w:color="auto"/>
        <w:left w:val="none" w:sz="0" w:space="0" w:color="auto"/>
        <w:bottom w:val="none" w:sz="0" w:space="0" w:color="auto"/>
        <w:right w:val="none" w:sz="0" w:space="0" w:color="auto"/>
      </w:divBdr>
    </w:div>
    <w:div w:id="1549142825">
      <w:bodyDiv w:val="1"/>
      <w:marLeft w:val="0"/>
      <w:marRight w:val="0"/>
      <w:marTop w:val="0"/>
      <w:marBottom w:val="0"/>
      <w:divBdr>
        <w:top w:val="none" w:sz="0" w:space="0" w:color="auto"/>
        <w:left w:val="none" w:sz="0" w:space="0" w:color="auto"/>
        <w:bottom w:val="none" w:sz="0" w:space="0" w:color="auto"/>
        <w:right w:val="none" w:sz="0" w:space="0" w:color="auto"/>
      </w:divBdr>
    </w:div>
    <w:div w:id="1857227687">
      <w:bodyDiv w:val="1"/>
      <w:marLeft w:val="0"/>
      <w:marRight w:val="0"/>
      <w:marTop w:val="0"/>
      <w:marBottom w:val="0"/>
      <w:divBdr>
        <w:top w:val="none" w:sz="0" w:space="0" w:color="auto"/>
        <w:left w:val="none" w:sz="0" w:space="0" w:color="auto"/>
        <w:bottom w:val="none" w:sz="0" w:space="0" w:color="auto"/>
        <w:right w:val="none" w:sz="0" w:space="0" w:color="auto"/>
      </w:divBdr>
    </w:div>
    <w:div w:id="2049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574F-1380-489D-9167-2D480874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2020-06-09T14:13:00Z</dcterms:created>
  <dcterms:modified xsi:type="dcterms:W3CDTF">2020-06-09T14:13:00Z</dcterms:modified>
</cp:coreProperties>
</file>