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9600" w14:textId="77777777" w:rsidR="000E7AEF" w:rsidRPr="00AF7670" w:rsidRDefault="000E7AEF">
      <w:pPr>
        <w:overflowPunct w:val="0"/>
        <w:autoSpaceDE w:val="0"/>
        <w:autoSpaceDN w:val="0"/>
        <w:adjustRightInd w:val="0"/>
        <w:jc w:val="both"/>
        <w:rPr>
          <w:rFonts w:ascii="Times New Roman" w:hAnsi="Times New Roman"/>
          <w:i/>
          <w:kern w:val="0"/>
          <w:sz w:val="22"/>
        </w:rPr>
      </w:pPr>
      <w:bookmarkStart w:id="0" w:name="page1"/>
      <w:bookmarkEnd w:id="0"/>
      <w:r w:rsidRPr="00AF7670">
        <w:rPr>
          <w:rFonts w:ascii="Times New Roman" w:hAnsi="Times New Roman"/>
          <w:i/>
          <w:kern w:val="0"/>
          <w:sz w:val="22"/>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47C7326" w14:textId="77777777" w:rsidR="000E7AEF" w:rsidRPr="00C93581" w:rsidRDefault="000E7AEF">
      <w:pPr>
        <w:autoSpaceDE w:val="0"/>
        <w:autoSpaceDN w:val="0"/>
        <w:adjustRightInd w:val="0"/>
        <w:spacing w:line="200" w:lineRule="exact"/>
        <w:rPr>
          <w:rFonts w:ascii="Times New Roman" w:hAnsi="Times New Roman"/>
          <w:kern w:val="0"/>
          <w:szCs w:val="24"/>
        </w:rPr>
      </w:pPr>
    </w:p>
    <w:p w14:paraId="455A65AD" w14:textId="77777777" w:rsidR="000E7AEF" w:rsidRPr="00C93581" w:rsidRDefault="000E7AEF">
      <w:pPr>
        <w:autoSpaceDE w:val="0"/>
        <w:autoSpaceDN w:val="0"/>
        <w:adjustRightInd w:val="0"/>
        <w:spacing w:line="200" w:lineRule="exact"/>
        <w:rPr>
          <w:rFonts w:ascii="Times New Roman" w:hAnsi="Times New Roman"/>
          <w:kern w:val="0"/>
          <w:szCs w:val="24"/>
        </w:rPr>
      </w:pPr>
    </w:p>
    <w:p w14:paraId="37FB74C4" w14:textId="13F19BE8" w:rsidR="000E7AEF" w:rsidRPr="00C93581" w:rsidRDefault="000A7F2C">
      <w:pPr>
        <w:autoSpaceDE w:val="0"/>
        <w:autoSpaceDN w:val="0"/>
        <w:adjustRightInd w:val="0"/>
        <w:spacing w:line="200" w:lineRule="exact"/>
        <w:rPr>
          <w:rFonts w:ascii="Times New Roman" w:hAnsi="Times New Roman"/>
          <w:kern w:val="0"/>
          <w:szCs w:val="24"/>
        </w:rPr>
      </w:pPr>
      <w:r>
        <w:rPr>
          <w:i/>
          <w:noProof/>
          <w:sz w:val="20"/>
        </w:rPr>
        <w:drawing>
          <wp:anchor distT="0" distB="0" distL="114300" distR="114300" simplePos="0" relativeHeight="251663360" behindDoc="0" locked="0" layoutInCell="0" allowOverlap="1" wp14:anchorId="55554F5E" wp14:editId="316E4AFD">
            <wp:simplePos x="0" y="0"/>
            <wp:positionH relativeFrom="margin">
              <wp:posOffset>2648269</wp:posOffset>
            </wp:positionH>
            <wp:positionV relativeFrom="line">
              <wp:posOffset>80963</wp:posOffset>
            </wp:positionV>
            <wp:extent cx="838835" cy="889000"/>
            <wp:effectExtent l="0" t="603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lum bright="2000" contrast="6000"/>
                      <a:extLst>
                        <a:ext uri="{28A0092B-C50C-407E-A947-70E740481C1C}">
                          <a14:useLocalDpi xmlns:a14="http://schemas.microsoft.com/office/drawing/2010/main" val="0"/>
                        </a:ext>
                      </a:extLst>
                    </a:blip>
                    <a:srcRect/>
                    <a:stretch>
                      <a:fillRect/>
                    </a:stretch>
                  </pic:blipFill>
                  <pic:spPr bwMode="auto">
                    <a:xfrm rot="5400000">
                      <a:off x="0" y="0"/>
                      <a:ext cx="83883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C6524" w14:textId="6BFB4391" w:rsidR="000A7F2C" w:rsidRDefault="000A7F2C" w:rsidP="000A7F2C">
      <w:pPr>
        <w:pStyle w:val="BodyText"/>
        <w:rPr>
          <w:i/>
          <w:sz w:val="20"/>
        </w:rPr>
      </w:pPr>
    </w:p>
    <w:p w14:paraId="16B1025A" w14:textId="2C60C2C3" w:rsidR="000A7F2C" w:rsidRDefault="000A7F2C" w:rsidP="000A7F2C">
      <w:pPr>
        <w:pStyle w:val="BodyText"/>
        <w:rPr>
          <w:i/>
          <w:sz w:val="20"/>
        </w:rPr>
      </w:pPr>
    </w:p>
    <w:p w14:paraId="1FB3FC3B" w14:textId="7D9D3B1C" w:rsidR="000A7F2C" w:rsidRDefault="000A7F2C" w:rsidP="000A7F2C">
      <w:pPr>
        <w:pStyle w:val="BodyText"/>
        <w:rPr>
          <w:i/>
          <w:sz w:val="20"/>
        </w:rPr>
      </w:pPr>
    </w:p>
    <w:p w14:paraId="56E02C7D" w14:textId="77777777" w:rsidR="000A7F2C" w:rsidRDefault="000A7F2C" w:rsidP="000A7F2C">
      <w:pPr>
        <w:pStyle w:val="BodyText"/>
        <w:jc w:val="center"/>
        <w:rPr>
          <w:i/>
          <w:sz w:val="20"/>
        </w:rPr>
      </w:pPr>
    </w:p>
    <w:p w14:paraId="71179511" w14:textId="77777777" w:rsidR="000A7F2C" w:rsidRDefault="000A7F2C" w:rsidP="000A7F2C">
      <w:pPr>
        <w:pStyle w:val="BodyText"/>
        <w:rPr>
          <w:i/>
          <w:sz w:val="20"/>
        </w:rPr>
      </w:pPr>
    </w:p>
    <w:p w14:paraId="30BEAF54" w14:textId="77777777" w:rsidR="000A7F2C" w:rsidRDefault="000A7F2C" w:rsidP="000A7F2C">
      <w:pPr>
        <w:pStyle w:val="BodyText"/>
        <w:rPr>
          <w:i/>
          <w:sz w:val="23"/>
        </w:rPr>
      </w:pPr>
    </w:p>
    <w:p w14:paraId="1E58F0A0" w14:textId="77777777" w:rsidR="000A7F2C" w:rsidRPr="00F05E5D" w:rsidRDefault="000A7F2C" w:rsidP="000A7F2C">
      <w:pPr>
        <w:adjustRightInd w:val="0"/>
        <w:spacing w:beforeLines="10" w:before="24"/>
        <w:jc w:val="center"/>
        <w:rPr>
          <w:rFonts w:ascii="Times New Roman" w:hAnsi="Times New Roman"/>
          <w:b/>
          <w:bCs/>
          <w:color w:val="231F20"/>
          <w:sz w:val="32"/>
          <w:szCs w:val="32"/>
          <w:lang w:eastAsia="zh-CN"/>
        </w:rPr>
      </w:pPr>
      <w:r w:rsidRPr="00F05E5D">
        <w:rPr>
          <w:rFonts w:ascii="Times New Roman" w:hAnsi="Times New Roman"/>
          <w:b/>
          <w:bCs/>
          <w:color w:val="231F20"/>
          <w:sz w:val="32"/>
          <w:szCs w:val="32"/>
          <w:lang w:eastAsia="zh-CN"/>
        </w:rPr>
        <w:t>TRINITY LIMITED</w:t>
      </w:r>
    </w:p>
    <w:p w14:paraId="5513EC10" w14:textId="1BD96E16" w:rsidR="000A7F2C" w:rsidRDefault="000A7F2C" w:rsidP="000A7F2C">
      <w:pPr>
        <w:pStyle w:val="Heading1"/>
        <w:tabs>
          <w:tab w:val="left" w:pos="3240"/>
        </w:tabs>
        <w:snapToGrid w:val="0"/>
        <w:jc w:val="left"/>
        <w:rPr>
          <w:sz w:val="28"/>
          <w:szCs w:val="28"/>
        </w:rPr>
      </w:pPr>
      <w:r>
        <w:rPr>
          <w:rFonts w:ascii="MHeiHK-Bold-ETen-B5-H-Identity-" w:hAnsi="Times-Bold" w:cs="MHeiHK-Bold-ETen-B5-H-Identity-" w:hint="eastAsia"/>
          <w:bCs/>
          <w:snapToGrid w:val="0"/>
          <w:color w:val="231F20"/>
          <w:spacing w:val="30"/>
          <w:kern w:val="0"/>
          <w:sz w:val="28"/>
          <w:szCs w:val="28"/>
          <w:lang w:eastAsia="zh-HK"/>
        </w:rPr>
        <w:tab/>
      </w:r>
      <w:r>
        <w:rPr>
          <w:rFonts w:ascii="MHeiHK-Bold-ETen-B5-H-Identity-" w:hAnsi="Times-Bold" w:cs="MHeiHK-Bold-ETen-B5-H-Identity-"/>
          <w:bCs/>
          <w:snapToGrid w:val="0"/>
          <w:color w:val="231F20"/>
          <w:spacing w:val="30"/>
          <w:kern w:val="0"/>
          <w:sz w:val="28"/>
          <w:szCs w:val="28"/>
          <w:lang w:eastAsia="zh-HK"/>
        </w:rPr>
        <w:t xml:space="preserve"> </w:t>
      </w:r>
      <w:r w:rsidR="00A7748F">
        <w:rPr>
          <w:rFonts w:ascii="MHeiHK-Bold-ETen-B5-H-Identity-" w:hAnsi="Times-Bold" w:cs="MHeiHK-Bold-ETen-B5-H-Identity-"/>
          <w:bCs/>
          <w:snapToGrid w:val="0"/>
          <w:color w:val="231F20"/>
          <w:spacing w:val="30"/>
          <w:kern w:val="0"/>
          <w:sz w:val="28"/>
          <w:szCs w:val="28"/>
          <w:lang w:eastAsia="zh-HK"/>
        </w:rPr>
        <w:t xml:space="preserve"> </w:t>
      </w:r>
      <w:r>
        <w:rPr>
          <w:rFonts w:ascii="MHeiHK-Bold-ETen-B5-H-Identity-" w:hAnsi="Times-Bold" w:cs="MHeiHK-Bold-ETen-B5-H-Identity-"/>
          <w:bCs/>
          <w:snapToGrid w:val="0"/>
          <w:color w:val="231F20"/>
          <w:spacing w:val="30"/>
          <w:kern w:val="0"/>
          <w:sz w:val="28"/>
          <w:szCs w:val="28"/>
          <w:lang w:eastAsia="zh-HK"/>
        </w:rPr>
        <w:t xml:space="preserve"> </w:t>
      </w:r>
      <w:r>
        <w:rPr>
          <w:rFonts w:ascii="MHeiHK-Bold-ETen-B5-H-Identity-" w:hAnsi="Times-Bold" w:cs="MHeiHK-Bold-ETen-B5-H-Identity-" w:hint="eastAsia"/>
          <w:bCs/>
          <w:snapToGrid w:val="0"/>
          <w:color w:val="231F20"/>
          <w:spacing w:val="30"/>
          <w:kern w:val="0"/>
          <w:sz w:val="28"/>
          <w:szCs w:val="28"/>
          <w:lang w:eastAsia="zh-CN"/>
        </w:rPr>
        <w:t>利邦控股有限公司</w:t>
      </w:r>
      <w:r>
        <w:rPr>
          <w:b w:val="0"/>
          <w:bCs/>
          <w:i/>
          <w:snapToGrid w:val="0"/>
          <w:color w:val="231F20"/>
          <w:spacing w:val="20"/>
          <w:kern w:val="0"/>
          <w:sz w:val="28"/>
          <w:szCs w:val="28"/>
          <w:vertAlign w:val="superscript"/>
        </w:rPr>
        <w:t>*</w:t>
      </w:r>
    </w:p>
    <w:p w14:paraId="7853F5A7" w14:textId="77777777" w:rsidR="000A7F2C" w:rsidRPr="00F05E5D" w:rsidRDefault="000A7F2C" w:rsidP="000A7F2C">
      <w:pPr>
        <w:adjustRightInd w:val="0"/>
        <w:snapToGrid w:val="0"/>
        <w:jc w:val="center"/>
        <w:rPr>
          <w:rFonts w:ascii="Times New Roman" w:hAnsi="Times New Roman"/>
          <w:i/>
          <w:szCs w:val="24"/>
        </w:rPr>
      </w:pPr>
      <w:r w:rsidRPr="00F05E5D">
        <w:rPr>
          <w:rFonts w:ascii="Times New Roman" w:hAnsi="Times New Roman"/>
          <w:i/>
          <w:szCs w:val="24"/>
        </w:rPr>
        <w:t>(In Liquidation)</w:t>
      </w:r>
    </w:p>
    <w:p w14:paraId="480411B0" w14:textId="77777777" w:rsidR="000A7F2C" w:rsidRPr="00F05E5D" w:rsidRDefault="000A7F2C" w:rsidP="000A7F2C">
      <w:pPr>
        <w:snapToGrid w:val="0"/>
        <w:jc w:val="center"/>
        <w:rPr>
          <w:rFonts w:ascii="Times New Roman" w:hAnsi="Times New Roman"/>
          <w:szCs w:val="24"/>
        </w:rPr>
      </w:pPr>
      <w:r w:rsidRPr="00F05E5D">
        <w:rPr>
          <w:rFonts w:ascii="Times New Roman" w:hAnsi="Times New Roman"/>
          <w:i/>
          <w:szCs w:val="24"/>
        </w:rPr>
        <w:t>(Incorporated in Bermuda with limited liability)</w:t>
      </w:r>
    </w:p>
    <w:p w14:paraId="5F2756E4" w14:textId="77777777" w:rsidR="000A7F2C" w:rsidRPr="00F05E5D" w:rsidRDefault="000A7F2C" w:rsidP="000A7F2C">
      <w:pPr>
        <w:snapToGrid w:val="0"/>
        <w:jc w:val="center"/>
        <w:rPr>
          <w:rFonts w:ascii="Times New Roman" w:hAnsi="Times New Roman"/>
          <w:szCs w:val="24"/>
        </w:rPr>
      </w:pPr>
      <w:r w:rsidRPr="00F05E5D">
        <w:rPr>
          <w:rFonts w:ascii="Times New Roman" w:hAnsi="Times New Roman"/>
          <w:b/>
          <w:szCs w:val="24"/>
        </w:rPr>
        <w:t xml:space="preserve">(Stock Code: </w:t>
      </w:r>
      <w:r w:rsidRPr="00F05E5D">
        <w:rPr>
          <w:rFonts w:ascii="Times New Roman" w:hAnsi="Times New Roman"/>
          <w:b/>
          <w:spacing w:val="20"/>
          <w:szCs w:val="24"/>
        </w:rPr>
        <w:t>891</w:t>
      </w:r>
      <w:r w:rsidRPr="00F05E5D">
        <w:rPr>
          <w:rFonts w:ascii="Times New Roman" w:hAnsi="Times New Roman"/>
          <w:b/>
          <w:szCs w:val="24"/>
        </w:rPr>
        <w:t>)</w:t>
      </w:r>
    </w:p>
    <w:p w14:paraId="69E87338" w14:textId="77777777" w:rsidR="00F4529E" w:rsidRPr="00A7748F" w:rsidRDefault="00F4529E">
      <w:pPr>
        <w:autoSpaceDE w:val="0"/>
        <w:autoSpaceDN w:val="0"/>
        <w:adjustRightInd w:val="0"/>
        <w:ind w:left="3760"/>
        <w:rPr>
          <w:rFonts w:ascii="Times New Roman" w:hAnsi="Times New Roman"/>
          <w:b/>
          <w:bCs/>
          <w:kern w:val="0"/>
          <w:szCs w:val="24"/>
        </w:rPr>
      </w:pPr>
    </w:p>
    <w:p w14:paraId="15990C01" w14:textId="476E869C" w:rsidR="00F4529E" w:rsidRPr="00A7748F" w:rsidRDefault="001D1C85" w:rsidP="00F4529E">
      <w:pPr>
        <w:autoSpaceDE w:val="0"/>
        <w:autoSpaceDN w:val="0"/>
        <w:adjustRightInd w:val="0"/>
        <w:ind w:left="2268"/>
        <w:rPr>
          <w:rFonts w:ascii="Times New Roman" w:hAnsi="Times New Roman"/>
          <w:b/>
          <w:bCs/>
          <w:kern w:val="0"/>
          <w:szCs w:val="24"/>
        </w:rPr>
      </w:pPr>
      <w:r w:rsidRPr="00A7748F">
        <w:rPr>
          <w:rFonts w:ascii="Times New Roman" w:hAnsi="Times New Roman"/>
          <w:b/>
          <w:bCs/>
          <w:kern w:val="0"/>
          <w:szCs w:val="24"/>
        </w:rPr>
        <w:t xml:space="preserve">   </w:t>
      </w:r>
      <w:r w:rsidR="00F4529E" w:rsidRPr="00A7748F">
        <w:rPr>
          <w:rFonts w:ascii="Times New Roman" w:hAnsi="Times New Roman"/>
          <w:b/>
          <w:bCs/>
          <w:kern w:val="0"/>
          <w:szCs w:val="24"/>
        </w:rPr>
        <w:t xml:space="preserve">ADDITIONAL RESUMPTION </w:t>
      </w:r>
      <w:r w:rsidR="005452BD" w:rsidRPr="00A7748F">
        <w:rPr>
          <w:rFonts w:ascii="Times New Roman" w:hAnsi="Times New Roman"/>
          <w:b/>
          <w:bCs/>
          <w:kern w:val="0"/>
          <w:szCs w:val="24"/>
        </w:rPr>
        <w:t>GUIDANCE</w:t>
      </w:r>
    </w:p>
    <w:p w14:paraId="493C65A8" w14:textId="77777777" w:rsidR="00A7748F" w:rsidRDefault="00A7748F" w:rsidP="00A375F6">
      <w:pPr>
        <w:autoSpaceDE w:val="0"/>
        <w:autoSpaceDN w:val="0"/>
        <w:adjustRightInd w:val="0"/>
        <w:spacing w:line="295" w:lineRule="exact"/>
        <w:jc w:val="both"/>
        <w:rPr>
          <w:rFonts w:ascii="Times New Roman" w:hAnsi="Times New Roman"/>
          <w:b/>
          <w:bCs/>
          <w:kern w:val="0"/>
          <w:szCs w:val="24"/>
        </w:rPr>
      </w:pPr>
    </w:p>
    <w:p w14:paraId="0B8B4899" w14:textId="77777777" w:rsidR="00A11ED5" w:rsidRDefault="00A11ED5" w:rsidP="00A375F6">
      <w:pPr>
        <w:autoSpaceDE w:val="0"/>
        <w:autoSpaceDN w:val="0"/>
        <w:adjustRightInd w:val="0"/>
        <w:spacing w:line="295" w:lineRule="exact"/>
        <w:jc w:val="both"/>
        <w:rPr>
          <w:rFonts w:ascii="Times New Roman" w:hAnsi="Times New Roman"/>
          <w:kern w:val="0"/>
          <w:szCs w:val="24"/>
        </w:rPr>
      </w:pPr>
    </w:p>
    <w:p w14:paraId="7C2B1A51" w14:textId="258D4F6B" w:rsidR="009749F6" w:rsidRPr="006C72D6" w:rsidRDefault="00A375F6" w:rsidP="009749F6">
      <w:pPr>
        <w:autoSpaceDE w:val="0"/>
        <w:autoSpaceDN w:val="0"/>
        <w:adjustRightInd w:val="0"/>
        <w:spacing w:line="295" w:lineRule="exact"/>
        <w:jc w:val="both"/>
        <w:rPr>
          <w:rFonts w:ascii="Times New Roman" w:hAnsi="Times New Roman"/>
          <w:kern w:val="0"/>
          <w:szCs w:val="24"/>
        </w:rPr>
      </w:pPr>
      <w:r w:rsidRPr="00A375F6">
        <w:rPr>
          <w:rFonts w:ascii="Times New Roman" w:hAnsi="Times New Roman"/>
          <w:kern w:val="0"/>
          <w:szCs w:val="24"/>
        </w:rPr>
        <w:t>References are made to (</w:t>
      </w:r>
      <w:r w:rsidR="00F05E5D">
        <w:rPr>
          <w:rFonts w:ascii="Times New Roman" w:hAnsi="Times New Roman"/>
          <w:kern w:val="0"/>
          <w:szCs w:val="24"/>
        </w:rPr>
        <w:t>i</w:t>
      </w:r>
      <w:r w:rsidRPr="00A375F6">
        <w:rPr>
          <w:rFonts w:ascii="Times New Roman" w:hAnsi="Times New Roman"/>
          <w:kern w:val="0"/>
          <w:szCs w:val="24"/>
        </w:rPr>
        <w:t xml:space="preserve">) the announcement of </w:t>
      </w:r>
      <w:r w:rsidR="000A7F2C">
        <w:rPr>
          <w:rFonts w:ascii="Times New Roman" w:hAnsi="Times New Roman"/>
          <w:kern w:val="0"/>
          <w:szCs w:val="24"/>
        </w:rPr>
        <w:t>Trinity</w:t>
      </w:r>
      <w:r w:rsidRPr="00A375F6">
        <w:rPr>
          <w:rFonts w:ascii="Times New Roman" w:hAnsi="Times New Roman"/>
          <w:kern w:val="0"/>
          <w:szCs w:val="24"/>
        </w:rPr>
        <w:t xml:space="preserve"> Limited (the “</w:t>
      </w:r>
      <w:r w:rsidRPr="00A375F6">
        <w:rPr>
          <w:rFonts w:ascii="Times New Roman" w:hAnsi="Times New Roman"/>
          <w:b/>
          <w:kern w:val="0"/>
          <w:szCs w:val="24"/>
        </w:rPr>
        <w:t>Company</w:t>
      </w:r>
      <w:r w:rsidRPr="00A375F6">
        <w:rPr>
          <w:rFonts w:ascii="Times New Roman" w:hAnsi="Times New Roman"/>
          <w:kern w:val="0"/>
          <w:szCs w:val="24"/>
        </w:rPr>
        <w:t>” and together with its subsidiaries, the “</w:t>
      </w:r>
      <w:r w:rsidRPr="00A375F6">
        <w:rPr>
          <w:rFonts w:ascii="Times New Roman" w:hAnsi="Times New Roman"/>
          <w:b/>
          <w:kern w:val="0"/>
          <w:szCs w:val="24"/>
        </w:rPr>
        <w:t>Group</w:t>
      </w:r>
      <w:r w:rsidRPr="00A375F6">
        <w:rPr>
          <w:rFonts w:ascii="Times New Roman" w:hAnsi="Times New Roman"/>
          <w:kern w:val="0"/>
          <w:szCs w:val="24"/>
        </w:rPr>
        <w:t xml:space="preserve">”) </w:t>
      </w:r>
      <w:r w:rsidR="00F05E5D">
        <w:rPr>
          <w:rFonts w:ascii="Times New Roman" w:hAnsi="Times New Roman"/>
          <w:kern w:val="0"/>
          <w:szCs w:val="24"/>
        </w:rPr>
        <w:t>dated 6 July 2021 in respect of the resumption guidance and quarterly update on suspension of trading</w:t>
      </w:r>
      <w:r w:rsidR="002167DC">
        <w:rPr>
          <w:rFonts w:ascii="Times New Roman" w:hAnsi="Times New Roman"/>
          <w:kern w:val="0"/>
          <w:szCs w:val="24"/>
        </w:rPr>
        <w:t xml:space="preserve"> (the “</w:t>
      </w:r>
      <w:r w:rsidR="002167DC" w:rsidRPr="002167DC">
        <w:rPr>
          <w:rFonts w:ascii="Times New Roman" w:hAnsi="Times New Roman"/>
          <w:b/>
          <w:bCs/>
          <w:kern w:val="0"/>
          <w:szCs w:val="24"/>
        </w:rPr>
        <w:t>Resumption Guidance Announcement</w:t>
      </w:r>
      <w:r w:rsidR="002167DC">
        <w:rPr>
          <w:rFonts w:ascii="Times New Roman" w:hAnsi="Times New Roman"/>
          <w:kern w:val="0"/>
          <w:szCs w:val="24"/>
        </w:rPr>
        <w:t>”)</w:t>
      </w:r>
      <w:r w:rsidR="00F05E5D">
        <w:rPr>
          <w:rFonts w:ascii="Times New Roman" w:hAnsi="Times New Roman"/>
          <w:kern w:val="0"/>
          <w:szCs w:val="24"/>
        </w:rPr>
        <w:t xml:space="preserve">; and (ii) </w:t>
      </w:r>
      <w:r w:rsidR="00F05E5D" w:rsidRPr="00A375F6">
        <w:rPr>
          <w:rFonts w:ascii="Times New Roman" w:hAnsi="Times New Roman"/>
          <w:kern w:val="0"/>
          <w:szCs w:val="24"/>
        </w:rPr>
        <w:t xml:space="preserve">the announcement of </w:t>
      </w:r>
      <w:r w:rsidR="00F05E5D">
        <w:rPr>
          <w:rFonts w:ascii="Times New Roman" w:hAnsi="Times New Roman"/>
          <w:kern w:val="0"/>
          <w:szCs w:val="24"/>
        </w:rPr>
        <w:t>the Company</w:t>
      </w:r>
      <w:r w:rsidR="00F05E5D" w:rsidRPr="00A375F6">
        <w:rPr>
          <w:rFonts w:ascii="Times New Roman" w:hAnsi="Times New Roman"/>
          <w:kern w:val="0"/>
          <w:szCs w:val="24"/>
        </w:rPr>
        <w:t xml:space="preserve"> </w:t>
      </w:r>
      <w:r w:rsidRPr="00A375F6">
        <w:rPr>
          <w:rFonts w:ascii="Times New Roman" w:hAnsi="Times New Roman"/>
          <w:kern w:val="0"/>
          <w:szCs w:val="24"/>
        </w:rPr>
        <w:t xml:space="preserve">dated </w:t>
      </w:r>
      <w:r w:rsidR="004D0011">
        <w:rPr>
          <w:rFonts w:ascii="Times New Roman" w:hAnsi="Times New Roman"/>
          <w:kern w:val="0"/>
          <w:szCs w:val="24"/>
        </w:rPr>
        <w:t>17 August 2021</w:t>
      </w:r>
      <w:r w:rsidRPr="00A375F6">
        <w:rPr>
          <w:rFonts w:ascii="Times New Roman" w:hAnsi="Times New Roman"/>
          <w:kern w:val="0"/>
          <w:szCs w:val="24"/>
        </w:rPr>
        <w:t xml:space="preserve"> in respect of </w:t>
      </w:r>
      <w:r w:rsidR="001D1C85">
        <w:rPr>
          <w:rFonts w:ascii="Times New Roman" w:hAnsi="Times New Roman"/>
          <w:kern w:val="0"/>
          <w:szCs w:val="24"/>
        </w:rPr>
        <w:t>the Supreme Court of Bermuda ordering the Company to be wo</w:t>
      </w:r>
      <w:r w:rsidR="001458C2">
        <w:rPr>
          <w:rFonts w:ascii="Times New Roman" w:hAnsi="Times New Roman"/>
          <w:kern w:val="0"/>
          <w:szCs w:val="24"/>
        </w:rPr>
        <w:t>und</w:t>
      </w:r>
      <w:r w:rsidR="001D1C85">
        <w:rPr>
          <w:rFonts w:ascii="Times New Roman" w:hAnsi="Times New Roman"/>
          <w:kern w:val="0"/>
          <w:szCs w:val="24"/>
        </w:rPr>
        <w:t xml:space="preserve"> up and the continued appointment of the Joint Provisional Liquidators </w:t>
      </w:r>
      <w:r w:rsidR="00F05E5D">
        <w:rPr>
          <w:rFonts w:ascii="Times New Roman" w:hAnsi="Times New Roman"/>
          <w:kern w:val="0"/>
          <w:szCs w:val="24"/>
        </w:rPr>
        <w:t>(the “</w:t>
      </w:r>
      <w:r w:rsidR="00F05E5D" w:rsidRPr="00F05E5D">
        <w:rPr>
          <w:rFonts w:ascii="Times New Roman" w:hAnsi="Times New Roman"/>
          <w:b/>
          <w:bCs/>
          <w:kern w:val="0"/>
          <w:szCs w:val="24"/>
        </w:rPr>
        <w:t>JPLs</w:t>
      </w:r>
      <w:r w:rsidR="00F05E5D">
        <w:rPr>
          <w:rFonts w:ascii="Times New Roman" w:hAnsi="Times New Roman"/>
          <w:kern w:val="0"/>
          <w:szCs w:val="24"/>
        </w:rPr>
        <w:t xml:space="preserve">”) </w:t>
      </w:r>
      <w:r w:rsidR="001D1C85">
        <w:rPr>
          <w:rFonts w:ascii="Times New Roman" w:hAnsi="Times New Roman"/>
          <w:kern w:val="0"/>
          <w:szCs w:val="24"/>
        </w:rPr>
        <w:t>on 13 August 2021</w:t>
      </w:r>
      <w:r w:rsidRPr="00A375F6">
        <w:rPr>
          <w:rFonts w:ascii="Times New Roman" w:hAnsi="Times New Roman"/>
          <w:kern w:val="0"/>
          <w:szCs w:val="24"/>
        </w:rPr>
        <w:t xml:space="preserve"> on the Main Board of The Stock Exchange of Hong Kong Limited (the “</w:t>
      </w:r>
      <w:r w:rsidRPr="009749F6">
        <w:rPr>
          <w:rFonts w:ascii="Times New Roman" w:hAnsi="Times New Roman"/>
          <w:b/>
          <w:kern w:val="0"/>
          <w:szCs w:val="24"/>
        </w:rPr>
        <w:t>Stock Exchange</w:t>
      </w:r>
      <w:r w:rsidRPr="00A375F6">
        <w:rPr>
          <w:rFonts w:ascii="Times New Roman" w:hAnsi="Times New Roman"/>
          <w:kern w:val="0"/>
          <w:szCs w:val="24"/>
        </w:rPr>
        <w:t>”)</w:t>
      </w:r>
      <w:r w:rsidR="001D1C85">
        <w:rPr>
          <w:rFonts w:ascii="Times New Roman" w:hAnsi="Times New Roman"/>
          <w:kern w:val="0"/>
          <w:szCs w:val="24"/>
        </w:rPr>
        <w:t>.</w:t>
      </w:r>
      <w:r w:rsidR="009749F6">
        <w:rPr>
          <w:rFonts w:ascii="Times New Roman" w:hAnsi="Times New Roman"/>
          <w:kern w:val="0"/>
          <w:szCs w:val="24"/>
        </w:rPr>
        <w:t xml:space="preserve"> </w:t>
      </w:r>
      <w:r w:rsidR="009749F6" w:rsidRPr="006C72D6">
        <w:rPr>
          <w:rFonts w:ascii="Times New Roman" w:hAnsi="Times New Roman"/>
          <w:kern w:val="0"/>
          <w:szCs w:val="24"/>
        </w:rPr>
        <w:t>Unless otherwise defined in this announcemen</w:t>
      </w:r>
      <w:r w:rsidR="009749F6">
        <w:rPr>
          <w:rFonts w:ascii="Times New Roman" w:hAnsi="Times New Roman"/>
          <w:kern w:val="0"/>
          <w:szCs w:val="24"/>
        </w:rPr>
        <w:t xml:space="preserve">t, terms defined in the </w:t>
      </w:r>
      <w:r w:rsidR="00F05E5D">
        <w:rPr>
          <w:rFonts w:ascii="Times New Roman" w:hAnsi="Times New Roman"/>
          <w:kern w:val="0"/>
          <w:szCs w:val="24"/>
        </w:rPr>
        <w:t>said a</w:t>
      </w:r>
      <w:r w:rsidR="009749F6" w:rsidRPr="006C72D6">
        <w:rPr>
          <w:rFonts w:ascii="Times New Roman" w:hAnsi="Times New Roman"/>
          <w:kern w:val="0"/>
          <w:szCs w:val="24"/>
        </w:rPr>
        <w:t>nnouncement</w:t>
      </w:r>
      <w:r w:rsidR="0086035C">
        <w:rPr>
          <w:rFonts w:ascii="Times New Roman" w:hAnsi="Times New Roman"/>
          <w:kern w:val="0"/>
          <w:szCs w:val="24"/>
        </w:rPr>
        <w:t>s</w:t>
      </w:r>
      <w:r w:rsidR="009749F6" w:rsidRPr="006C72D6">
        <w:rPr>
          <w:rFonts w:ascii="Times New Roman" w:hAnsi="Times New Roman"/>
          <w:kern w:val="0"/>
          <w:szCs w:val="24"/>
        </w:rPr>
        <w:t xml:space="preserve"> shall have the same meanings in this announcement.</w:t>
      </w:r>
    </w:p>
    <w:p w14:paraId="2383D97F" w14:textId="77777777" w:rsidR="00A375F6" w:rsidRPr="00A375F6" w:rsidRDefault="00A375F6" w:rsidP="00A375F6">
      <w:pPr>
        <w:autoSpaceDE w:val="0"/>
        <w:autoSpaceDN w:val="0"/>
        <w:adjustRightInd w:val="0"/>
        <w:spacing w:line="295" w:lineRule="exact"/>
        <w:jc w:val="both"/>
        <w:rPr>
          <w:rFonts w:ascii="Times New Roman" w:hAnsi="Times New Roman"/>
          <w:kern w:val="0"/>
          <w:szCs w:val="24"/>
        </w:rPr>
      </w:pPr>
    </w:p>
    <w:p w14:paraId="7995825A" w14:textId="51B5A19C" w:rsidR="001750F9" w:rsidRDefault="002167DC" w:rsidP="00A375F6">
      <w:pPr>
        <w:autoSpaceDE w:val="0"/>
        <w:autoSpaceDN w:val="0"/>
        <w:adjustRightInd w:val="0"/>
        <w:spacing w:line="295" w:lineRule="exact"/>
        <w:jc w:val="both"/>
        <w:rPr>
          <w:rFonts w:ascii="Times New Roman" w:hAnsi="Times New Roman"/>
          <w:kern w:val="0"/>
          <w:szCs w:val="24"/>
        </w:rPr>
      </w:pPr>
      <w:r>
        <w:rPr>
          <w:rFonts w:ascii="Times New Roman" w:hAnsi="Times New Roman"/>
          <w:kern w:val="0"/>
          <w:szCs w:val="24"/>
        </w:rPr>
        <w:t>I</w:t>
      </w:r>
      <w:r>
        <w:rPr>
          <w:rFonts w:ascii="Times New Roman" w:hAnsi="Times New Roman" w:hint="eastAsia"/>
          <w:kern w:val="0"/>
          <w:szCs w:val="24"/>
        </w:rPr>
        <w:t>n</w:t>
      </w:r>
      <w:r>
        <w:rPr>
          <w:rFonts w:ascii="Times New Roman" w:hAnsi="Times New Roman"/>
          <w:kern w:val="0"/>
          <w:szCs w:val="24"/>
        </w:rPr>
        <w:t xml:space="preserve"> addition to the Resumption Guidance Announcement, t</w:t>
      </w:r>
      <w:r w:rsidR="001D1C85">
        <w:rPr>
          <w:rFonts w:ascii="Times New Roman" w:hAnsi="Times New Roman"/>
          <w:kern w:val="0"/>
          <w:szCs w:val="24"/>
        </w:rPr>
        <w:t>he JPLs</w:t>
      </w:r>
      <w:r w:rsidR="00A375F6" w:rsidRPr="00A375F6">
        <w:rPr>
          <w:rFonts w:ascii="Times New Roman" w:hAnsi="Times New Roman"/>
          <w:kern w:val="0"/>
          <w:szCs w:val="24"/>
        </w:rPr>
        <w:t xml:space="preserve"> received </w:t>
      </w:r>
      <w:r w:rsidR="001458C2">
        <w:rPr>
          <w:rFonts w:ascii="Times New Roman" w:hAnsi="Times New Roman"/>
          <w:kern w:val="0"/>
          <w:szCs w:val="24"/>
        </w:rPr>
        <w:t xml:space="preserve">a </w:t>
      </w:r>
      <w:r w:rsidR="00A375F6" w:rsidRPr="00A375F6">
        <w:rPr>
          <w:rFonts w:ascii="Times New Roman" w:hAnsi="Times New Roman"/>
          <w:kern w:val="0"/>
          <w:szCs w:val="24"/>
        </w:rPr>
        <w:t>letter from the Stock Exchange</w:t>
      </w:r>
      <w:r w:rsidR="001458C2">
        <w:rPr>
          <w:rFonts w:ascii="Times New Roman" w:hAnsi="Times New Roman"/>
          <w:kern w:val="0"/>
          <w:szCs w:val="24"/>
        </w:rPr>
        <w:t xml:space="preserve"> on 25 August 2021</w:t>
      </w:r>
      <w:r w:rsidR="00A375F6" w:rsidRPr="00A375F6">
        <w:rPr>
          <w:rFonts w:ascii="Times New Roman" w:hAnsi="Times New Roman"/>
          <w:kern w:val="0"/>
          <w:szCs w:val="24"/>
        </w:rPr>
        <w:t xml:space="preserve">, in which the Stock Exchange stated the following </w:t>
      </w:r>
      <w:r w:rsidR="001458C2">
        <w:rPr>
          <w:rFonts w:ascii="Times New Roman" w:hAnsi="Times New Roman"/>
          <w:kern w:val="0"/>
          <w:szCs w:val="24"/>
        </w:rPr>
        <w:t xml:space="preserve">additional </w:t>
      </w:r>
      <w:r w:rsidR="00A375F6" w:rsidRPr="00A375F6">
        <w:rPr>
          <w:rFonts w:ascii="Times New Roman" w:hAnsi="Times New Roman"/>
          <w:kern w:val="0"/>
          <w:szCs w:val="24"/>
        </w:rPr>
        <w:t>cond</w:t>
      </w:r>
      <w:r w:rsidR="009749F6">
        <w:rPr>
          <w:rFonts w:ascii="Times New Roman" w:hAnsi="Times New Roman"/>
          <w:kern w:val="0"/>
          <w:szCs w:val="24"/>
        </w:rPr>
        <w:t>ition</w:t>
      </w:r>
      <w:r w:rsidR="00A375F6" w:rsidRPr="00A375F6">
        <w:rPr>
          <w:rFonts w:ascii="Times New Roman" w:hAnsi="Times New Roman"/>
          <w:kern w:val="0"/>
          <w:szCs w:val="24"/>
        </w:rPr>
        <w:t xml:space="preserve"> for the resumption of trading in the shares of the Company: </w:t>
      </w:r>
    </w:p>
    <w:p w14:paraId="79A2DBC7" w14:textId="77777777" w:rsidR="001D1C85" w:rsidRDefault="001D1C85" w:rsidP="00A375F6">
      <w:pPr>
        <w:autoSpaceDE w:val="0"/>
        <w:autoSpaceDN w:val="0"/>
        <w:adjustRightInd w:val="0"/>
        <w:spacing w:line="295" w:lineRule="exact"/>
        <w:jc w:val="both"/>
        <w:rPr>
          <w:rFonts w:ascii="Times New Roman" w:hAnsi="Times New Roman"/>
          <w:kern w:val="0"/>
          <w:szCs w:val="24"/>
        </w:rPr>
      </w:pPr>
    </w:p>
    <w:p w14:paraId="1D66669A" w14:textId="695F5005" w:rsidR="001D1C85" w:rsidRPr="00F05E5D" w:rsidRDefault="001D1C85" w:rsidP="00977165">
      <w:pPr>
        <w:pStyle w:val="ListParagraph"/>
        <w:numPr>
          <w:ilvl w:val="0"/>
          <w:numId w:val="6"/>
        </w:numPr>
        <w:ind w:leftChars="0" w:left="426" w:hanging="426"/>
        <w:jc w:val="both"/>
        <w:rPr>
          <w:rFonts w:ascii="Times New Roman" w:hAnsi="Times New Roman"/>
          <w:kern w:val="0"/>
          <w:szCs w:val="24"/>
        </w:rPr>
      </w:pPr>
      <w:r>
        <w:rPr>
          <w:rFonts w:ascii="Times New Roman" w:hAnsi="Times New Roman"/>
          <w:kern w:val="0"/>
          <w:szCs w:val="24"/>
        </w:rPr>
        <w:t>Having the winding up order against the Company withdrawn or dismissed and liquidators (provisional or not) discharged.</w:t>
      </w:r>
    </w:p>
    <w:p w14:paraId="323C3C2E" w14:textId="77777777" w:rsidR="00A375F6" w:rsidRDefault="00A375F6" w:rsidP="00A375F6">
      <w:pPr>
        <w:autoSpaceDE w:val="0"/>
        <w:autoSpaceDN w:val="0"/>
        <w:adjustRightInd w:val="0"/>
        <w:spacing w:line="295" w:lineRule="exact"/>
        <w:jc w:val="both"/>
        <w:rPr>
          <w:rFonts w:ascii="Times New Roman" w:hAnsi="Times New Roman"/>
          <w:kern w:val="0"/>
          <w:szCs w:val="24"/>
        </w:rPr>
      </w:pPr>
    </w:p>
    <w:p w14:paraId="5F450375" w14:textId="223C452D" w:rsidR="001750F9" w:rsidRDefault="001750F9" w:rsidP="00A375F6">
      <w:pPr>
        <w:autoSpaceDE w:val="0"/>
        <w:autoSpaceDN w:val="0"/>
        <w:adjustRightInd w:val="0"/>
        <w:spacing w:line="295" w:lineRule="exact"/>
        <w:jc w:val="both"/>
        <w:rPr>
          <w:rFonts w:ascii="Times New Roman" w:hAnsi="Times New Roman"/>
          <w:kern w:val="0"/>
          <w:szCs w:val="24"/>
        </w:rPr>
      </w:pPr>
      <w:r w:rsidRPr="009749F6">
        <w:rPr>
          <w:rFonts w:ascii="Times New Roman" w:hAnsi="Times New Roman"/>
          <w:kern w:val="0"/>
          <w:szCs w:val="24"/>
        </w:rPr>
        <w:t xml:space="preserve">The Stock Exchange further indicated that it may modify the above and/or impose further </w:t>
      </w:r>
      <w:r w:rsidR="00D512E6">
        <w:rPr>
          <w:rFonts w:ascii="Times New Roman" w:hAnsi="Times New Roman"/>
          <w:kern w:val="0"/>
          <w:szCs w:val="24"/>
        </w:rPr>
        <w:t>guidance</w:t>
      </w:r>
      <w:r w:rsidR="00D512E6" w:rsidRPr="009749F6">
        <w:rPr>
          <w:rFonts w:ascii="Times New Roman" w:hAnsi="Times New Roman"/>
          <w:kern w:val="0"/>
          <w:szCs w:val="24"/>
        </w:rPr>
        <w:t xml:space="preserve"> </w:t>
      </w:r>
      <w:r w:rsidRPr="009749F6">
        <w:rPr>
          <w:rFonts w:ascii="Times New Roman" w:hAnsi="Times New Roman"/>
          <w:kern w:val="0"/>
          <w:szCs w:val="24"/>
        </w:rPr>
        <w:t xml:space="preserve">if the situation changes. The Company is now taking appropriate steps to fulfill the </w:t>
      </w:r>
      <w:r w:rsidR="00153E5E">
        <w:rPr>
          <w:rFonts w:ascii="Times New Roman" w:hAnsi="Times New Roman"/>
          <w:kern w:val="0"/>
          <w:szCs w:val="24"/>
        </w:rPr>
        <w:t>all the r</w:t>
      </w:r>
      <w:r w:rsidRPr="009749F6">
        <w:rPr>
          <w:rFonts w:ascii="Times New Roman" w:hAnsi="Times New Roman"/>
          <w:kern w:val="0"/>
          <w:szCs w:val="24"/>
        </w:rPr>
        <w:t>esumption</w:t>
      </w:r>
      <w:r w:rsidR="00153E5E">
        <w:rPr>
          <w:rFonts w:ascii="Times New Roman" w:hAnsi="Times New Roman"/>
          <w:kern w:val="0"/>
          <w:szCs w:val="24"/>
        </w:rPr>
        <w:t xml:space="preserve"> c</w:t>
      </w:r>
      <w:r w:rsidRPr="009749F6">
        <w:rPr>
          <w:rFonts w:ascii="Times New Roman" w:hAnsi="Times New Roman"/>
          <w:kern w:val="0"/>
          <w:szCs w:val="24"/>
        </w:rPr>
        <w:t>onditions</w:t>
      </w:r>
      <w:r w:rsidR="00D512E6">
        <w:rPr>
          <w:rFonts w:ascii="Times New Roman" w:hAnsi="Times New Roman"/>
          <w:kern w:val="0"/>
          <w:szCs w:val="24"/>
        </w:rPr>
        <w:t>/guidance</w:t>
      </w:r>
      <w:r w:rsidRPr="009749F6">
        <w:rPr>
          <w:rFonts w:ascii="Times New Roman" w:hAnsi="Times New Roman"/>
          <w:kern w:val="0"/>
          <w:szCs w:val="24"/>
        </w:rPr>
        <w:t xml:space="preserve"> and will keep its shareholders of the Company and potential investors informed of the progress as and when appropriate.</w:t>
      </w:r>
    </w:p>
    <w:p w14:paraId="16777C25" w14:textId="77777777" w:rsidR="007E0E7E" w:rsidRDefault="007E0E7E" w:rsidP="00B609FE">
      <w:pPr>
        <w:autoSpaceDE w:val="0"/>
        <w:autoSpaceDN w:val="0"/>
        <w:adjustRightInd w:val="0"/>
        <w:spacing w:line="295" w:lineRule="exact"/>
        <w:rPr>
          <w:rFonts w:ascii="Times New Roman" w:hAnsi="Times New Roman"/>
          <w:kern w:val="0"/>
          <w:szCs w:val="24"/>
        </w:rPr>
      </w:pPr>
    </w:p>
    <w:p w14:paraId="442B8DAA" w14:textId="77777777" w:rsidR="000A7F2C" w:rsidRPr="00F05E5D" w:rsidRDefault="000A7F2C" w:rsidP="000A7F2C">
      <w:pPr>
        <w:pStyle w:val="BodyText"/>
        <w:spacing w:line="240" w:lineRule="exact"/>
        <w:ind w:right="466"/>
        <w:rPr>
          <w:b/>
        </w:rPr>
      </w:pPr>
      <w:r w:rsidRPr="00F05E5D">
        <w:rPr>
          <w:b/>
          <w:color w:val="231F20"/>
          <w:w w:val="105"/>
        </w:rPr>
        <w:t>CONTINUED SUSPENSION OF TRADING IN THE SHARES</w:t>
      </w:r>
    </w:p>
    <w:p w14:paraId="55E69ECE" w14:textId="77777777" w:rsidR="000A7F2C" w:rsidRPr="00F05E5D" w:rsidRDefault="000A7F2C" w:rsidP="000A7F2C">
      <w:pPr>
        <w:pStyle w:val="BodyText"/>
        <w:spacing w:line="240" w:lineRule="exact"/>
      </w:pPr>
    </w:p>
    <w:p w14:paraId="0B671BD5" w14:textId="77777777" w:rsidR="000A7F2C" w:rsidRPr="00F05E5D" w:rsidRDefault="000A7F2C" w:rsidP="000A7F2C">
      <w:pPr>
        <w:pStyle w:val="BodyText"/>
        <w:spacing w:line="242" w:lineRule="auto"/>
        <w:ind w:right="111"/>
        <w:jc w:val="both"/>
        <w:rPr>
          <w:color w:val="231F20"/>
          <w:spacing w:val="5"/>
        </w:rPr>
      </w:pPr>
      <w:r w:rsidRPr="00F05E5D">
        <w:rPr>
          <w:color w:val="231F20"/>
          <w:spacing w:val="5"/>
        </w:rPr>
        <w:t xml:space="preserve">At the request of the Company, trading in the shares of the Company of The Stock Exchange of Hong Kong Limited has been suspended with effect from 9:00 a.m. on 1 April 2021 and will remain suspended until further notice. </w:t>
      </w:r>
    </w:p>
    <w:p w14:paraId="0DA36970" w14:textId="77777777" w:rsidR="000A7F2C" w:rsidRPr="00F05E5D" w:rsidRDefault="000A7F2C" w:rsidP="000A7F2C">
      <w:pPr>
        <w:pStyle w:val="BodyText"/>
        <w:spacing w:line="242" w:lineRule="auto"/>
        <w:ind w:right="111"/>
        <w:jc w:val="both"/>
        <w:rPr>
          <w:color w:val="231F20"/>
          <w:spacing w:val="5"/>
        </w:rPr>
      </w:pPr>
    </w:p>
    <w:p w14:paraId="5110A3DC" w14:textId="01B709A4" w:rsidR="000A7F2C" w:rsidRPr="00F05E5D" w:rsidRDefault="000A7F2C" w:rsidP="000A7F2C">
      <w:pPr>
        <w:pStyle w:val="BodyText"/>
        <w:spacing w:line="242" w:lineRule="auto"/>
        <w:ind w:right="111"/>
        <w:jc w:val="both"/>
      </w:pPr>
      <w:r w:rsidRPr="00F05E5D">
        <w:rPr>
          <w:color w:val="231F20"/>
          <w:spacing w:val="5"/>
        </w:rPr>
        <w:t>Shareholders of the Company and potential investors are advised to exercise caution when dealing in shares of the Company.</w:t>
      </w:r>
    </w:p>
    <w:p w14:paraId="5D9E15FA" w14:textId="77777777" w:rsidR="00C850C2" w:rsidRPr="00A7748F" w:rsidRDefault="00C850C2" w:rsidP="00C850C2">
      <w:pPr>
        <w:autoSpaceDE w:val="0"/>
        <w:autoSpaceDN w:val="0"/>
        <w:adjustRightInd w:val="0"/>
        <w:spacing w:line="295" w:lineRule="exact"/>
        <w:jc w:val="both"/>
        <w:rPr>
          <w:rFonts w:ascii="Times New Roman" w:hAnsi="Times New Roman"/>
          <w:kern w:val="0"/>
          <w:szCs w:val="24"/>
        </w:rPr>
      </w:pPr>
    </w:p>
    <w:p w14:paraId="742CB0B2" w14:textId="0EC63145" w:rsidR="000A7F2C" w:rsidRPr="00F05E5D" w:rsidRDefault="000A7F2C" w:rsidP="000A7F2C">
      <w:pPr>
        <w:pStyle w:val="BodyText"/>
        <w:ind w:left="6424"/>
      </w:pPr>
      <w:bookmarkStart w:id="1" w:name="page2"/>
      <w:bookmarkEnd w:id="1"/>
      <w:r w:rsidRPr="00F05E5D">
        <w:rPr>
          <w:color w:val="231F20"/>
          <w:spacing w:val="3"/>
        </w:rPr>
        <w:t xml:space="preserve">  For an</w:t>
      </w:r>
      <w:r w:rsidR="00977165">
        <w:rPr>
          <w:color w:val="231F20"/>
          <w:spacing w:val="3"/>
        </w:rPr>
        <w:t>d</w:t>
      </w:r>
      <w:r w:rsidRPr="00F05E5D">
        <w:rPr>
          <w:color w:val="231F20"/>
          <w:spacing w:val="3"/>
        </w:rPr>
        <w:t xml:space="preserve"> on behalf of</w:t>
      </w:r>
    </w:p>
    <w:p w14:paraId="718387CF" w14:textId="0F8730AC" w:rsidR="000A7F2C" w:rsidRPr="00F05E5D" w:rsidRDefault="000A7F2C" w:rsidP="000A7F2C">
      <w:pPr>
        <w:pStyle w:val="BodyText"/>
        <w:spacing w:before="3" w:line="242" w:lineRule="auto"/>
        <w:ind w:left="5400" w:right="89"/>
        <w:jc w:val="center"/>
        <w:rPr>
          <w:b/>
          <w:color w:val="231F20"/>
          <w:w w:val="105"/>
        </w:rPr>
      </w:pPr>
      <w:r w:rsidRPr="00F05E5D">
        <w:rPr>
          <w:b/>
          <w:color w:val="231F20"/>
          <w:w w:val="105"/>
        </w:rPr>
        <w:t xml:space="preserve">   Trinity Limited </w:t>
      </w:r>
    </w:p>
    <w:p w14:paraId="5DFE06CF" w14:textId="54B71AAD" w:rsidR="000A7F2C" w:rsidRPr="00F05E5D" w:rsidRDefault="000A7F2C" w:rsidP="000A7F2C">
      <w:pPr>
        <w:pStyle w:val="BodyText"/>
        <w:spacing w:before="3" w:line="242" w:lineRule="auto"/>
        <w:ind w:left="5400" w:right="89"/>
        <w:jc w:val="center"/>
        <w:rPr>
          <w:b/>
          <w:color w:val="231F20"/>
          <w:w w:val="105"/>
        </w:rPr>
      </w:pPr>
      <w:r w:rsidRPr="00F05E5D">
        <w:rPr>
          <w:b/>
          <w:color w:val="231F20"/>
          <w:w w:val="105"/>
        </w:rPr>
        <w:t xml:space="preserve">    (In Liquidation)</w:t>
      </w:r>
    </w:p>
    <w:p w14:paraId="755821B7" w14:textId="4E52ACAC" w:rsidR="000A7F2C" w:rsidRPr="00F05E5D" w:rsidRDefault="000A7F2C" w:rsidP="000A7F2C">
      <w:pPr>
        <w:widowControl/>
        <w:adjustRightInd w:val="0"/>
        <w:ind w:left="5040" w:firstLine="720"/>
        <w:rPr>
          <w:rFonts w:ascii="Times New Roman" w:hAnsi="Times New Roman"/>
          <w:b/>
          <w:bCs/>
          <w:szCs w:val="24"/>
        </w:rPr>
      </w:pPr>
      <w:r w:rsidRPr="00F05E5D">
        <w:rPr>
          <w:rFonts w:ascii="Times New Roman" w:hAnsi="Times New Roman"/>
          <w:b/>
          <w:bCs/>
          <w:szCs w:val="24"/>
        </w:rPr>
        <w:t xml:space="preserve">       Osman Mohammed Arab</w:t>
      </w:r>
    </w:p>
    <w:p w14:paraId="5112669C" w14:textId="77777777" w:rsidR="000A7F2C" w:rsidRPr="00F05E5D" w:rsidRDefault="000A7F2C" w:rsidP="000A7F2C">
      <w:pPr>
        <w:widowControl/>
        <w:adjustRightInd w:val="0"/>
        <w:ind w:left="5760" w:firstLine="720"/>
        <w:rPr>
          <w:rFonts w:ascii="Times New Roman" w:hAnsi="Times New Roman"/>
          <w:b/>
          <w:bCs/>
          <w:szCs w:val="24"/>
        </w:rPr>
      </w:pPr>
      <w:r w:rsidRPr="00F05E5D">
        <w:rPr>
          <w:rFonts w:ascii="Times New Roman" w:hAnsi="Times New Roman"/>
          <w:b/>
          <w:bCs/>
          <w:szCs w:val="24"/>
        </w:rPr>
        <w:t xml:space="preserve">       Lai Wing Lun</w:t>
      </w:r>
    </w:p>
    <w:p w14:paraId="49F755B3" w14:textId="77777777" w:rsidR="000A7F2C" w:rsidRPr="00F05E5D" w:rsidRDefault="000A7F2C" w:rsidP="00F05E5D">
      <w:pPr>
        <w:widowControl/>
        <w:adjustRightInd w:val="0"/>
        <w:ind w:left="5760" w:hanging="90"/>
        <w:rPr>
          <w:rFonts w:ascii="Times New Roman" w:hAnsi="Times New Roman"/>
          <w:b/>
          <w:bCs/>
          <w:szCs w:val="24"/>
        </w:rPr>
      </w:pPr>
      <w:r w:rsidRPr="00F05E5D">
        <w:rPr>
          <w:rFonts w:ascii="Times New Roman" w:hAnsi="Times New Roman"/>
          <w:b/>
          <w:bCs/>
          <w:szCs w:val="24"/>
        </w:rPr>
        <w:t>Edward Alexander Niles Whittaker</w:t>
      </w:r>
    </w:p>
    <w:p w14:paraId="309F8480" w14:textId="77777777" w:rsidR="000A7F2C" w:rsidRPr="00F05E5D" w:rsidRDefault="000A7F2C" w:rsidP="000A7F2C">
      <w:pPr>
        <w:pStyle w:val="BodyText"/>
        <w:ind w:left="5557"/>
        <w:jc w:val="center"/>
        <w:rPr>
          <w:i/>
          <w:color w:val="231F20"/>
          <w:w w:val="105"/>
        </w:rPr>
      </w:pPr>
      <w:r w:rsidRPr="00F05E5D">
        <w:rPr>
          <w:i/>
          <w:color w:val="231F20"/>
          <w:w w:val="105"/>
        </w:rPr>
        <w:t>Joint Provisional Liquidators</w:t>
      </w:r>
    </w:p>
    <w:p w14:paraId="72AAFF7C" w14:textId="77777777" w:rsidR="000A7F2C" w:rsidRPr="00F05E5D" w:rsidRDefault="000A7F2C" w:rsidP="000A7F2C">
      <w:pPr>
        <w:pStyle w:val="BodyText"/>
        <w:ind w:left="5557"/>
        <w:jc w:val="center"/>
        <w:rPr>
          <w:i/>
        </w:rPr>
      </w:pPr>
      <w:r w:rsidRPr="00F05E5D">
        <w:rPr>
          <w:i/>
          <w:color w:val="231F20"/>
          <w:w w:val="105"/>
        </w:rPr>
        <w:t xml:space="preserve">  who act as agents of the Company only and without personal liability </w:t>
      </w:r>
    </w:p>
    <w:p w14:paraId="251821D9" w14:textId="77777777" w:rsidR="000A7F2C" w:rsidRPr="00A7748F" w:rsidRDefault="000A7F2C" w:rsidP="000A7F2C">
      <w:pPr>
        <w:pStyle w:val="BodyText"/>
        <w:spacing w:line="240" w:lineRule="exact"/>
        <w:ind w:left="113"/>
        <w:rPr>
          <w:color w:val="231F20"/>
          <w:spacing w:val="4"/>
        </w:rPr>
      </w:pPr>
    </w:p>
    <w:p w14:paraId="29D74798" w14:textId="2421FDDF" w:rsidR="000A7F2C" w:rsidRPr="00F05E5D" w:rsidRDefault="000A7F2C" w:rsidP="000A7F2C">
      <w:pPr>
        <w:pStyle w:val="BodyText"/>
        <w:spacing w:line="240" w:lineRule="exact"/>
        <w:ind w:left="113"/>
        <w:rPr>
          <w:color w:val="231F20"/>
          <w:spacing w:val="4"/>
        </w:rPr>
      </w:pPr>
      <w:r w:rsidRPr="00F05E5D">
        <w:rPr>
          <w:color w:val="231F20"/>
          <w:spacing w:val="4"/>
        </w:rPr>
        <w:t xml:space="preserve">Hong Kong, </w:t>
      </w:r>
      <w:r w:rsidR="00977165">
        <w:rPr>
          <w:color w:val="231F20"/>
          <w:spacing w:val="4"/>
        </w:rPr>
        <w:t xml:space="preserve">6 </w:t>
      </w:r>
      <w:r w:rsidRPr="00F05E5D">
        <w:rPr>
          <w:rFonts w:eastAsiaTheme="minorEastAsia"/>
          <w:color w:val="231F20"/>
          <w:spacing w:val="4"/>
          <w:lang w:eastAsia="zh-TW"/>
        </w:rPr>
        <w:t>September</w:t>
      </w:r>
      <w:r w:rsidRPr="00F05E5D">
        <w:rPr>
          <w:color w:val="231F20"/>
          <w:spacing w:val="4"/>
        </w:rPr>
        <w:t xml:space="preserve"> 2021</w:t>
      </w:r>
    </w:p>
    <w:p w14:paraId="42E249D1" w14:textId="77777777" w:rsidR="000A7F2C" w:rsidRPr="00F05E5D" w:rsidRDefault="000A7F2C" w:rsidP="000A7F2C">
      <w:pPr>
        <w:pStyle w:val="BodyText"/>
        <w:spacing w:line="240" w:lineRule="exact"/>
        <w:ind w:left="113"/>
        <w:rPr>
          <w:color w:val="231F20"/>
          <w:spacing w:val="4"/>
        </w:rPr>
      </w:pPr>
    </w:p>
    <w:p w14:paraId="7E36A838" w14:textId="77777777" w:rsidR="000A7F2C" w:rsidRPr="00F05E5D" w:rsidRDefault="000A7F2C" w:rsidP="000A7F2C">
      <w:pPr>
        <w:widowControl/>
        <w:adjustRightInd w:val="0"/>
        <w:jc w:val="both"/>
        <w:rPr>
          <w:rFonts w:ascii="Times New Roman" w:hAnsi="Times New Roman"/>
        </w:rPr>
      </w:pPr>
      <w:r w:rsidRPr="00F05E5D">
        <w:rPr>
          <w:rFonts w:ascii="Times New Roman" w:hAnsi="Times New Roman"/>
          <w:i/>
          <w:color w:val="231F20"/>
          <w:spacing w:val="3"/>
        </w:rPr>
        <w:t xml:space="preserve">As at the date of this announcement, the Board comprises three executive directors, namely Ms SUN Weiying (Chief Executive Officer), Ms QIU Chenran and Ms SU Xiao; one non-executive director, namely Mr QIU Yafu (Chairman); and three independent non-executive directors, namely Mr YANG Dajun, Mr ZHAO Zongren and Mr KONG Xiangyong. All powers of the directors ceased upon making of the winding-up order by the Bermuda Court on 13 August 2021. </w:t>
      </w:r>
    </w:p>
    <w:p w14:paraId="11E06F9F" w14:textId="77777777" w:rsidR="000A7F2C" w:rsidRPr="00F05E5D" w:rsidRDefault="000A7F2C" w:rsidP="000A7F2C">
      <w:pPr>
        <w:widowControl/>
        <w:adjustRightInd w:val="0"/>
        <w:rPr>
          <w:rFonts w:ascii="Times New Roman" w:hAnsi="Times New Roman"/>
        </w:rPr>
      </w:pPr>
    </w:p>
    <w:p w14:paraId="6A26E33A" w14:textId="77777777" w:rsidR="000A7F2C" w:rsidRPr="00F05E5D" w:rsidRDefault="000A7F2C" w:rsidP="000A7F2C">
      <w:pPr>
        <w:widowControl/>
        <w:adjustRightInd w:val="0"/>
        <w:rPr>
          <w:rFonts w:ascii="Times New Roman" w:hAnsi="Times New Roman"/>
          <w:i/>
          <w:iCs/>
        </w:rPr>
      </w:pPr>
      <w:r w:rsidRPr="00F05E5D">
        <w:rPr>
          <w:rFonts w:ascii="Times New Roman" w:hAnsi="Times New Roman"/>
          <w:i/>
          <w:iCs/>
        </w:rPr>
        <w:t>* For identification purposes only</w:t>
      </w:r>
    </w:p>
    <w:p w14:paraId="6F23318A" w14:textId="77777777" w:rsidR="000E7AEF" w:rsidRPr="00C93581" w:rsidRDefault="000E7AEF">
      <w:pPr>
        <w:autoSpaceDE w:val="0"/>
        <w:autoSpaceDN w:val="0"/>
        <w:adjustRightInd w:val="0"/>
        <w:spacing w:line="200" w:lineRule="exact"/>
        <w:rPr>
          <w:rFonts w:ascii="Times New Roman" w:eastAsia="SimSun" w:hAnsi="Times New Roman"/>
          <w:kern w:val="0"/>
          <w:szCs w:val="24"/>
          <w:lang w:eastAsia="zh-CN"/>
        </w:rPr>
      </w:pPr>
    </w:p>
    <w:p w14:paraId="0147826E" w14:textId="20AA0551" w:rsidR="00A812BB" w:rsidRPr="00AF7670" w:rsidRDefault="00A812BB" w:rsidP="00CB1606">
      <w:pPr>
        <w:autoSpaceDE w:val="0"/>
        <w:autoSpaceDN w:val="0"/>
        <w:adjustRightInd w:val="0"/>
        <w:jc w:val="both"/>
        <w:rPr>
          <w:rFonts w:ascii="Times New Roman" w:hAnsi="Times New Roman"/>
          <w:i/>
          <w:kern w:val="0"/>
          <w:szCs w:val="24"/>
          <w:lang w:eastAsia="zh-HK"/>
        </w:rPr>
        <w:sectPr w:rsidR="00A812BB" w:rsidRPr="00AF7670" w:rsidSect="00B609FE">
          <w:type w:val="continuous"/>
          <w:pgSz w:w="11900" w:h="15874"/>
          <w:pgMar w:top="851" w:right="1120" w:bottom="1702" w:left="1140" w:header="720" w:footer="720" w:gutter="0"/>
          <w:cols w:space="720" w:equalWidth="0">
            <w:col w:w="9640"/>
          </w:cols>
          <w:noEndnote/>
        </w:sectPr>
      </w:pPr>
    </w:p>
    <w:p w14:paraId="5448FA0F" w14:textId="77777777" w:rsidR="000E7AEF" w:rsidRDefault="000E7AEF" w:rsidP="00FD210C">
      <w:pPr>
        <w:autoSpaceDE w:val="0"/>
        <w:autoSpaceDN w:val="0"/>
        <w:adjustRightInd w:val="0"/>
        <w:spacing w:line="239" w:lineRule="auto"/>
        <w:rPr>
          <w:rFonts w:ascii="Times New Roman" w:eastAsia="SimSun" w:hAnsi="Times New Roman"/>
          <w:kern w:val="0"/>
          <w:szCs w:val="24"/>
          <w:lang w:eastAsia="zh-CN"/>
        </w:rPr>
      </w:pPr>
      <w:bookmarkStart w:id="2" w:name="page7"/>
      <w:bookmarkEnd w:id="2"/>
    </w:p>
    <w:p w14:paraId="70FE5A17" w14:textId="77777777" w:rsidR="00244251" w:rsidRPr="00A812BB" w:rsidRDefault="00244251" w:rsidP="00FD210C">
      <w:pPr>
        <w:autoSpaceDE w:val="0"/>
        <w:autoSpaceDN w:val="0"/>
        <w:adjustRightInd w:val="0"/>
        <w:spacing w:line="239" w:lineRule="auto"/>
        <w:rPr>
          <w:rFonts w:ascii="Times New Roman" w:eastAsia="SimSun" w:hAnsi="Times New Roman"/>
          <w:kern w:val="0"/>
          <w:szCs w:val="24"/>
          <w:lang w:eastAsia="zh-CN"/>
        </w:rPr>
      </w:pPr>
    </w:p>
    <w:sectPr w:rsidR="00244251" w:rsidRPr="00A812BB">
      <w:type w:val="continuous"/>
      <w:pgSz w:w="11900" w:h="15874"/>
      <w:pgMar w:top="1187" w:right="5680" w:bottom="126" w:left="5680" w:header="720" w:footer="720" w:gutter="0"/>
      <w:cols w:space="720" w:equalWidth="0">
        <w:col w:w="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252D" w14:textId="77777777" w:rsidR="000108B6" w:rsidRDefault="000108B6" w:rsidP="00A812BB">
      <w:r>
        <w:separator/>
      </w:r>
    </w:p>
  </w:endnote>
  <w:endnote w:type="continuationSeparator" w:id="0">
    <w:p w14:paraId="5B173AB7" w14:textId="77777777" w:rsidR="000108B6" w:rsidRDefault="000108B6" w:rsidP="00A812BB">
      <w:r>
        <w:continuationSeparator/>
      </w:r>
    </w:p>
  </w:endnote>
  <w:endnote w:type="continuationNotice" w:id="1">
    <w:p w14:paraId="65CDE0B5" w14:textId="77777777" w:rsidR="000108B6" w:rsidRDefault="00010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HeiHK-Bold-ETen-B5-H-Identity-">
    <w:altName w:val="Malgun Gothic Semilight"/>
    <w:panose1 w:val="00000000000000000000"/>
    <w:charset w:val="88"/>
    <w:family w:val="auto"/>
    <w:notTrueType/>
    <w:pitch w:val="default"/>
    <w:sig w:usb0="00000000" w:usb1="08080000" w:usb2="00000010" w:usb3="00000000" w:csb0="00100000" w:csb1="00000000"/>
  </w:font>
  <w:font w:name="Times-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A9A3" w14:textId="77777777" w:rsidR="000108B6" w:rsidRDefault="000108B6" w:rsidP="00A812BB">
      <w:r>
        <w:separator/>
      </w:r>
    </w:p>
  </w:footnote>
  <w:footnote w:type="continuationSeparator" w:id="0">
    <w:p w14:paraId="3EA42059" w14:textId="77777777" w:rsidR="000108B6" w:rsidRDefault="000108B6" w:rsidP="00A812BB">
      <w:r>
        <w:continuationSeparator/>
      </w:r>
    </w:p>
  </w:footnote>
  <w:footnote w:type="continuationNotice" w:id="1">
    <w:p w14:paraId="11AF9419" w14:textId="77777777" w:rsidR="000108B6" w:rsidRDefault="000108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B239F9"/>
    <w:multiLevelType w:val="hybridMultilevel"/>
    <w:tmpl w:val="5210A462"/>
    <w:lvl w:ilvl="0" w:tplc="9EB2B29A">
      <w:start w:val="1"/>
      <w:numFmt w:val="lowerLetter"/>
      <w:lvlText w:val="(%1)"/>
      <w:lvlJc w:val="left"/>
      <w:pPr>
        <w:ind w:left="360" w:firstLine="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E1C4CE4"/>
    <w:multiLevelType w:val="hybridMultilevel"/>
    <w:tmpl w:val="FBF6D878"/>
    <w:lvl w:ilvl="0" w:tplc="3D2ADCD8">
      <w:start w:val="1"/>
      <w:numFmt w:val="low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AE4A82"/>
    <w:multiLevelType w:val="hybridMultilevel"/>
    <w:tmpl w:val="AC2C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5050F6"/>
    <w:multiLevelType w:val="hybridMultilevel"/>
    <w:tmpl w:val="37E832A6"/>
    <w:lvl w:ilvl="0" w:tplc="8AFEB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712E6A"/>
    <w:multiLevelType w:val="hybridMultilevel"/>
    <w:tmpl w:val="B0AA00DC"/>
    <w:lvl w:ilvl="0" w:tplc="7F3A3864">
      <w:start w:val="1"/>
      <w:numFmt w:val="lowerLetter"/>
      <w:lvlText w:val="(%1)"/>
      <w:lvlJc w:val="left"/>
      <w:pPr>
        <w:ind w:left="750" w:hanging="360"/>
      </w:pPr>
      <w:rPr>
        <w:rFonts w:hint="default"/>
      </w:rPr>
    </w:lvl>
    <w:lvl w:ilvl="1" w:tplc="3C090019" w:tentative="1">
      <w:start w:val="1"/>
      <w:numFmt w:val="lowerLetter"/>
      <w:lvlText w:val="%2."/>
      <w:lvlJc w:val="left"/>
      <w:pPr>
        <w:ind w:left="1470" w:hanging="360"/>
      </w:pPr>
    </w:lvl>
    <w:lvl w:ilvl="2" w:tplc="3C09001B" w:tentative="1">
      <w:start w:val="1"/>
      <w:numFmt w:val="lowerRoman"/>
      <w:lvlText w:val="%3."/>
      <w:lvlJc w:val="right"/>
      <w:pPr>
        <w:ind w:left="2190" w:hanging="180"/>
      </w:pPr>
    </w:lvl>
    <w:lvl w:ilvl="3" w:tplc="3C09000F" w:tentative="1">
      <w:start w:val="1"/>
      <w:numFmt w:val="decimal"/>
      <w:lvlText w:val="%4."/>
      <w:lvlJc w:val="left"/>
      <w:pPr>
        <w:ind w:left="2910" w:hanging="360"/>
      </w:pPr>
    </w:lvl>
    <w:lvl w:ilvl="4" w:tplc="3C090019" w:tentative="1">
      <w:start w:val="1"/>
      <w:numFmt w:val="lowerLetter"/>
      <w:lvlText w:val="%5."/>
      <w:lvlJc w:val="left"/>
      <w:pPr>
        <w:ind w:left="3630" w:hanging="360"/>
      </w:pPr>
    </w:lvl>
    <w:lvl w:ilvl="5" w:tplc="3C09001B" w:tentative="1">
      <w:start w:val="1"/>
      <w:numFmt w:val="lowerRoman"/>
      <w:lvlText w:val="%6."/>
      <w:lvlJc w:val="right"/>
      <w:pPr>
        <w:ind w:left="4350" w:hanging="180"/>
      </w:pPr>
    </w:lvl>
    <w:lvl w:ilvl="6" w:tplc="3C09000F" w:tentative="1">
      <w:start w:val="1"/>
      <w:numFmt w:val="decimal"/>
      <w:lvlText w:val="%7."/>
      <w:lvlJc w:val="left"/>
      <w:pPr>
        <w:ind w:left="5070" w:hanging="360"/>
      </w:pPr>
    </w:lvl>
    <w:lvl w:ilvl="7" w:tplc="3C090019" w:tentative="1">
      <w:start w:val="1"/>
      <w:numFmt w:val="lowerLetter"/>
      <w:lvlText w:val="%8."/>
      <w:lvlJc w:val="left"/>
      <w:pPr>
        <w:ind w:left="5790" w:hanging="360"/>
      </w:pPr>
    </w:lvl>
    <w:lvl w:ilvl="8" w:tplc="3C09001B" w:tentative="1">
      <w:start w:val="1"/>
      <w:numFmt w:val="lowerRoman"/>
      <w:lvlText w:val="%9."/>
      <w:lvlJc w:val="right"/>
      <w:pPr>
        <w:ind w:left="651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27"/>
    <w:rsid w:val="00000AB8"/>
    <w:rsid w:val="000078D9"/>
    <w:rsid w:val="000108B6"/>
    <w:rsid w:val="00054E77"/>
    <w:rsid w:val="00081F1C"/>
    <w:rsid w:val="000843BF"/>
    <w:rsid w:val="0009202D"/>
    <w:rsid w:val="000A3112"/>
    <w:rsid w:val="000A7F2C"/>
    <w:rsid w:val="000E47E4"/>
    <w:rsid w:val="000E7AEF"/>
    <w:rsid w:val="000F0153"/>
    <w:rsid w:val="00133820"/>
    <w:rsid w:val="00142B3C"/>
    <w:rsid w:val="001458C2"/>
    <w:rsid w:val="00152899"/>
    <w:rsid w:val="00153E5E"/>
    <w:rsid w:val="001750F9"/>
    <w:rsid w:val="001953D5"/>
    <w:rsid w:val="001D1C85"/>
    <w:rsid w:val="001D24F2"/>
    <w:rsid w:val="001E1C84"/>
    <w:rsid w:val="001E56DF"/>
    <w:rsid w:val="002167DC"/>
    <w:rsid w:val="00221CFA"/>
    <w:rsid w:val="00236040"/>
    <w:rsid w:val="00236726"/>
    <w:rsid w:val="00244251"/>
    <w:rsid w:val="002E7493"/>
    <w:rsid w:val="0031032E"/>
    <w:rsid w:val="00311F94"/>
    <w:rsid w:val="003373E6"/>
    <w:rsid w:val="003C1C83"/>
    <w:rsid w:val="003C2011"/>
    <w:rsid w:val="003F046E"/>
    <w:rsid w:val="004015D3"/>
    <w:rsid w:val="00403109"/>
    <w:rsid w:val="00414B64"/>
    <w:rsid w:val="00496057"/>
    <w:rsid w:val="004C12BD"/>
    <w:rsid w:val="004D0011"/>
    <w:rsid w:val="00525C27"/>
    <w:rsid w:val="00543C8A"/>
    <w:rsid w:val="005452BD"/>
    <w:rsid w:val="00564016"/>
    <w:rsid w:val="00566968"/>
    <w:rsid w:val="0059719E"/>
    <w:rsid w:val="00620A78"/>
    <w:rsid w:val="006275F0"/>
    <w:rsid w:val="006451E8"/>
    <w:rsid w:val="006C72D6"/>
    <w:rsid w:val="006E5519"/>
    <w:rsid w:val="007121C4"/>
    <w:rsid w:val="00757C72"/>
    <w:rsid w:val="00765DF2"/>
    <w:rsid w:val="007908F3"/>
    <w:rsid w:val="00796045"/>
    <w:rsid w:val="007C1E99"/>
    <w:rsid w:val="007E0E7E"/>
    <w:rsid w:val="00821DEF"/>
    <w:rsid w:val="0084606D"/>
    <w:rsid w:val="00846BC1"/>
    <w:rsid w:val="0086035C"/>
    <w:rsid w:val="008B2424"/>
    <w:rsid w:val="008C289C"/>
    <w:rsid w:val="008C5780"/>
    <w:rsid w:val="008D252B"/>
    <w:rsid w:val="009208FE"/>
    <w:rsid w:val="0094529B"/>
    <w:rsid w:val="0097497F"/>
    <w:rsid w:val="009749F6"/>
    <w:rsid w:val="00977165"/>
    <w:rsid w:val="00981418"/>
    <w:rsid w:val="00996E7B"/>
    <w:rsid w:val="009A0CA9"/>
    <w:rsid w:val="009B23F1"/>
    <w:rsid w:val="009D7174"/>
    <w:rsid w:val="00A11ED5"/>
    <w:rsid w:val="00A277DF"/>
    <w:rsid w:val="00A375F6"/>
    <w:rsid w:val="00A604AB"/>
    <w:rsid w:val="00A7748F"/>
    <w:rsid w:val="00A812BB"/>
    <w:rsid w:val="00A8396A"/>
    <w:rsid w:val="00AA0F06"/>
    <w:rsid w:val="00AA71F3"/>
    <w:rsid w:val="00AB7511"/>
    <w:rsid w:val="00AC45EE"/>
    <w:rsid w:val="00AE289F"/>
    <w:rsid w:val="00AF0AC7"/>
    <w:rsid w:val="00AF7670"/>
    <w:rsid w:val="00B35A8B"/>
    <w:rsid w:val="00B609FE"/>
    <w:rsid w:val="00B624BA"/>
    <w:rsid w:val="00B9275A"/>
    <w:rsid w:val="00C74042"/>
    <w:rsid w:val="00C83F7E"/>
    <w:rsid w:val="00C850C2"/>
    <w:rsid w:val="00C92F7F"/>
    <w:rsid w:val="00C93581"/>
    <w:rsid w:val="00CA33B6"/>
    <w:rsid w:val="00CB1606"/>
    <w:rsid w:val="00D34D85"/>
    <w:rsid w:val="00D47571"/>
    <w:rsid w:val="00D500FB"/>
    <w:rsid w:val="00D512E6"/>
    <w:rsid w:val="00D52316"/>
    <w:rsid w:val="00D84FFE"/>
    <w:rsid w:val="00DE4323"/>
    <w:rsid w:val="00E00748"/>
    <w:rsid w:val="00E01586"/>
    <w:rsid w:val="00E05DF5"/>
    <w:rsid w:val="00E30F0D"/>
    <w:rsid w:val="00E52656"/>
    <w:rsid w:val="00E65E25"/>
    <w:rsid w:val="00E97478"/>
    <w:rsid w:val="00EC4D46"/>
    <w:rsid w:val="00F05E5D"/>
    <w:rsid w:val="00F22774"/>
    <w:rsid w:val="00F24148"/>
    <w:rsid w:val="00F4529E"/>
    <w:rsid w:val="00F73E3D"/>
    <w:rsid w:val="00FD0E27"/>
    <w:rsid w:val="00FD2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CA2C32"/>
  <w14:defaultImageDpi w14:val="0"/>
  <w15:docId w15:val="{00F1E736-4864-4CB6-AD8A-7851F32B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812BB"/>
    <w:rPr>
      <w:rFonts w:cs="Times New Roman"/>
    </w:rPr>
  </w:style>
  <w:style w:type="paragraph" w:styleId="Header">
    <w:name w:val="header"/>
    <w:basedOn w:val="Normal"/>
    <w:link w:val="HeaderChar"/>
    <w:uiPriority w:val="99"/>
    <w:unhideWhenUsed/>
    <w:rsid w:val="00A812BB"/>
    <w:pPr>
      <w:tabs>
        <w:tab w:val="center" w:pos="4153"/>
        <w:tab w:val="right" w:pos="8306"/>
      </w:tabs>
      <w:snapToGrid w:val="0"/>
    </w:pPr>
    <w:rPr>
      <w:sz w:val="20"/>
      <w:szCs w:val="20"/>
    </w:rPr>
  </w:style>
  <w:style w:type="paragraph" w:styleId="Footer">
    <w:name w:val="footer"/>
    <w:basedOn w:val="Normal"/>
    <w:link w:val="FooterChar"/>
    <w:uiPriority w:val="99"/>
    <w:unhideWhenUsed/>
    <w:rsid w:val="00A812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812BB"/>
    <w:rPr>
      <w:rFonts w:cs="Times New Roman"/>
      <w:sz w:val="20"/>
      <w:szCs w:val="20"/>
    </w:rPr>
  </w:style>
  <w:style w:type="table" w:styleId="TableGrid">
    <w:name w:val="Table Grid"/>
    <w:basedOn w:val="TableNormal"/>
    <w:uiPriority w:val="59"/>
    <w:rsid w:val="002E7493"/>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A812BB"/>
    <w:rPr>
      <w:rFonts w:cs="Times New Roman"/>
      <w:sz w:val="20"/>
      <w:szCs w:val="20"/>
    </w:rPr>
  </w:style>
  <w:style w:type="paragraph" w:styleId="BalloonText">
    <w:name w:val="Balloon Text"/>
    <w:basedOn w:val="Normal"/>
    <w:link w:val="BalloonTextChar"/>
    <w:uiPriority w:val="99"/>
    <w:rsid w:val="00F22774"/>
    <w:rPr>
      <w:rFonts w:ascii="Segoe UI" w:hAnsi="Segoe UI" w:cs="Segoe UI"/>
      <w:sz w:val="18"/>
      <w:szCs w:val="18"/>
    </w:rPr>
  </w:style>
  <w:style w:type="character" w:customStyle="1" w:styleId="BalloonTextChar">
    <w:name w:val="Balloon Text Char"/>
    <w:basedOn w:val="DefaultParagraphFont"/>
    <w:link w:val="BalloonText"/>
    <w:uiPriority w:val="99"/>
    <w:rsid w:val="00F22774"/>
    <w:rPr>
      <w:rFonts w:ascii="Segoe UI" w:hAnsi="Segoe UI" w:cs="Segoe UI"/>
      <w:sz w:val="18"/>
      <w:szCs w:val="18"/>
      <w:lang w:val="en-US" w:eastAsia="zh-TW"/>
    </w:rPr>
  </w:style>
  <w:style w:type="paragraph" w:styleId="Revision">
    <w:name w:val="Revision"/>
    <w:hidden/>
    <w:uiPriority w:val="99"/>
    <w:semiHidden/>
    <w:rsid w:val="000843BF"/>
    <w:rPr>
      <w:szCs w:val="22"/>
      <w:lang w:val="en-US" w:eastAsia="zh-TW"/>
    </w:rPr>
  </w:style>
  <w:style w:type="character" w:styleId="CommentReference">
    <w:name w:val="annotation reference"/>
    <w:basedOn w:val="DefaultParagraphFont"/>
    <w:uiPriority w:val="99"/>
    <w:rsid w:val="000F0153"/>
    <w:rPr>
      <w:sz w:val="16"/>
      <w:szCs w:val="16"/>
    </w:rPr>
  </w:style>
  <w:style w:type="paragraph" w:styleId="CommentText">
    <w:name w:val="annotation text"/>
    <w:basedOn w:val="Normal"/>
    <w:link w:val="CommentTextChar"/>
    <w:uiPriority w:val="99"/>
    <w:rsid w:val="000F0153"/>
    <w:rPr>
      <w:sz w:val="20"/>
      <w:szCs w:val="20"/>
    </w:rPr>
  </w:style>
  <w:style w:type="character" w:customStyle="1" w:styleId="CommentTextChar">
    <w:name w:val="Comment Text Char"/>
    <w:basedOn w:val="DefaultParagraphFont"/>
    <w:link w:val="CommentText"/>
    <w:uiPriority w:val="99"/>
    <w:rsid w:val="000F0153"/>
    <w:rPr>
      <w:sz w:val="20"/>
      <w:szCs w:val="20"/>
      <w:lang w:val="en-US" w:eastAsia="zh-TW"/>
    </w:rPr>
  </w:style>
  <w:style w:type="paragraph" w:styleId="CommentSubject">
    <w:name w:val="annotation subject"/>
    <w:basedOn w:val="CommentText"/>
    <w:next w:val="CommentText"/>
    <w:link w:val="CommentSubjectChar"/>
    <w:uiPriority w:val="99"/>
    <w:rsid w:val="000F0153"/>
    <w:rPr>
      <w:b/>
      <w:bCs/>
    </w:rPr>
  </w:style>
  <w:style w:type="character" w:customStyle="1" w:styleId="CommentSubjectChar">
    <w:name w:val="Comment Subject Char"/>
    <w:basedOn w:val="CommentTextChar"/>
    <w:link w:val="CommentSubject"/>
    <w:uiPriority w:val="99"/>
    <w:rsid w:val="000F0153"/>
    <w:rPr>
      <w:b/>
      <w:bCs/>
      <w:sz w:val="20"/>
      <w:szCs w:val="20"/>
      <w:lang w:val="en-US" w:eastAsia="zh-TW"/>
    </w:rPr>
  </w:style>
  <w:style w:type="paragraph" w:styleId="ListParagraph">
    <w:name w:val="List Paragraph"/>
    <w:basedOn w:val="Normal"/>
    <w:uiPriority w:val="34"/>
    <w:qFormat/>
    <w:rsid w:val="00B609FE"/>
    <w:pPr>
      <w:ind w:leftChars="200" w:left="480"/>
    </w:pPr>
  </w:style>
  <w:style w:type="paragraph" w:styleId="BodyText">
    <w:name w:val="Body Text"/>
    <w:basedOn w:val="Normal"/>
    <w:link w:val="BodyTextChar"/>
    <w:uiPriority w:val="1"/>
    <w:qFormat/>
    <w:rsid w:val="000A7F2C"/>
    <w:pPr>
      <w:autoSpaceDE w:val="0"/>
      <w:autoSpaceDN w:val="0"/>
    </w:pPr>
    <w:rPr>
      <w:rFonts w:ascii="Times New Roman" w:eastAsia="Times New Roman" w:hAnsi="Times New Roman"/>
      <w:kern w:val="0"/>
      <w:szCs w:val="24"/>
      <w:lang w:eastAsia="en-US"/>
    </w:rPr>
  </w:style>
  <w:style w:type="character" w:customStyle="1" w:styleId="BodyTextChar">
    <w:name w:val="Body Text Char"/>
    <w:basedOn w:val="DefaultParagraphFont"/>
    <w:link w:val="BodyText"/>
    <w:uiPriority w:val="1"/>
    <w:rsid w:val="000A7F2C"/>
    <w:rPr>
      <w:rFonts w:ascii="Times New Roman" w:eastAsia="Times New Roman" w:hAnsi="Times New Roman"/>
      <w:kern w:val="0"/>
      <w:lang w:val="en-US" w:eastAsia="en-US"/>
    </w:rPr>
  </w:style>
  <w:style w:type="paragraph" w:customStyle="1" w:styleId="Heading1">
    <w:name w:val="Heading1"/>
    <w:basedOn w:val="Normal"/>
    <w:rsid w:val="000A7F2C"/>
    <w:pPr>
      <w:jc w:val="center"/>
    </w:pPr>
    <w:rPr>
      <w:rFonts w:ascii="Times New Roman" w:eastAsia="PMingLiU" w:hAnsi="Times New Roman"/>
      <w:b/>
      <w: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9767">
      <w:bodyDiv w:val="1"/>
      <w:marLeft w:val="0"/>
      <w:marRight w:val="0"/>
      <w:marTop w:val="0"/>
      <w:marBottom w:val="0"/>
      <w:divBdr>
        <w:top w:val="none" w:sz="0" w:space="0" w:color="auto"/>
        <w:left w:val="none" w:sz="0" w:space="0" w:color="auto"/>
        <w:bottom w:val="none" w:sz="0" w:space="0" w:color="auto"/>
        <w:right w:val="none" w:sz="0" w:space="0" w:color="auto"/>
      </w:divBdr>
    </w:div>
    <w:div w:id="1432580360">
      <w:marLeft w:val="0"/>
      <w:marRight w:val="0"/>
      <w:marTop w:val="0"/>
      <w:marBottom w:val="0"/>
      <w:divBdr>
        <w:top w:val="none" w:sz="0" w:space="0" w:color="auto"/>
        <w:left w:val="none" w:sz="0" w:space="0" w:color="auto"/>
        <w:bottom w:val="none" w:sz="0" w:space="0" w:color="auto"/>
        <w:right w:val="none" w:sz="0" w:space="0" w:color="auto"/>
      </w:divBdr>
    </w:div>
    <w:div w:id="1432580361">
      <w:marLeft w:val="0"/>
      <w:marRight w:val="0"/>
      <w:marTop w:val="0"/>
      <w:marBottom w:val="0"/>
      <w:divBdr>
        <w:top w:val="none" w:sz="0" w:space="0" w:color="auto"/>
        <w:left w:val="none" w:sz="0" w:space="0" w:color="auto"/>
        <w:bottom w:val="none" w:sz="0" w:space="0" w:color="auto"/>
        <w:right w:val="none" w:sz="0" w:space="0" w:color="auto"/>
      </w:divBdr>
    </w:div>
    <w:div w:id="1432580362">
      <w:marLeft w:val="0"/>
      <w:marRight w:val="0"/>
      <w:marTop w:val="0"/>
      <w:marBottom w:val="0"/>
      <w:divBdr>
        <w:top w:val="none" w:sz="0" w:space="0" w:color="auto"/>
        <w:left w:val="none" w:sz="0" w:space="0" w:color="auto"/>
        <w:bottom w:val="none" w:sz="0" w:space="0" w:color="auto"/>
        <w:right w:val="none" w:sz="0" w:space="0" w:color="auto"/>
      </w:divBdr>
    </w:div>
    <w:div w:id="1432580363">
      <w:marLeft w:val="0"/>
      <w:marRight w:val="0"/>
      <w:marTop w:val="0"/>
      <w:marBottom w:val="0"/>
      <w:divBdr>
        <w:top w:val="none" w:sz="0" w:space="0" w:color="auto"/>
        <w:left w:val="none" w:sz="0" w:space="0" w:color="auto"/>
        <w:bottom w:val="none" w:sz="0" w:space="0" w:color="auto"/>
        <w:right w:val="none" w:sz="0" w:space="0" w:color="auto"/>
      </w:divBdr>
    </w:div>
    <w:div w:id="1432580364">
      <w:marLeft w:val="0"/>
      <w:marRight w:val="0"/>
      <w:marTop w:val="0"/>
      <w:marBottom w:val="0"/>
      <w:divBdr>
        <w:top w:val="none" w:sz="0" w:space="0" w:color="auto"/>
        <w:left w:val="none" w:sz="0" w:space="0" w:color="auto"/>
        <w:bottom w:val="none" w:sz="0" w:space="0" w:color="auto"/>
        <w:right w:val="none" w:sz="0" w:space="0" w:color="auto"/>
      </w:divBdr>
    </w:div>
    <w:div w:id="1432580365">
      <w:marLeft w:val="0"/>
      <w:marRight w:val="0"/>
      <w:marTop w:val="0"/>
      <w:marBottom w:val="0"/>
      <w:divBdr>
        <w:top w:val="none" w:sz="0" w:space="0" w:color="auto"/>
        <w:left w:val="none" w:sz="0" w:space="0" w:color="auto"/>
        <w:bottom w:val="none" w:sz="0" w:space="0" w:color="auto"/>
        <w:right w:val="none" w:sz="0" w:space="0" w:color="auto"/>
      </w:divBdr>
    </w:div>
    <w:div w:id="1432580366">
      <w:marLeft w:val="0"/>
      <w:marRight w:val="0"/>
      <w:marTop w:val="0"/>
      <w:marBottom w:val="0"/>
      <w:divBdr>
        <w:top w:val="none" w:sz="0" w:space="0" w:color="auto"/>
        <w:left w:val="none" w:sz="0" w:space="0" w:color="auto"/>
        <w:bottom w:val="none" w:sz="0" w:space="0" w:color="auto"/>
        <w:right w:val="none" w:sz="0" w:space="0" w:color="auto"/>
      </w:divBdr>
    </w:div>
    <w:div w:id="1432580367">
      <w:marLeft w:val="0"/>
      <w:marRight w:val="0"/>
      <w:marTop w:val="0"/>
      <w:marBottom w:val="0"/>
      <w:divBdr>
        <w:top w:val="none" w:sz="0" w:space="0" w:color="auto"/>
        <w:left w:val="none" w:sz="0" w:space="0" w:color="auto"/>
        <w:bottom w:val="none" w:sz="0" w:space="0" w:color="auto"/>
        <w:right w:val="none" w:sz="0" w:space="0" w:color="auto"/>
      </w:divBdr>
    </w:div>
    <w:div w:id="1432580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38DC-9AB9-43DA-8522-33C13D1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Carfield</dc:creator>
  <cp:keywords/>
  <dc:description/>
  <cp:lastModifiedBy>Eric Li</cp:lastModifiedBy>
  <cp:revision>3</cp:revision>
  <cp:lastPrinted>2019-03-21T07:40:00Z</cp:lastPrinted>
  <dcterms:created xsi:type="dcterms:W3CDTF">2021-09-06T01:50:00Z</dcterms:created>
  <dcterms:modified xsi:type="dcterms:W3CDTF">2021-09-06T02:24:00Z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