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1243" w14:textId="77777777" w:rsidR="00505294" w:rsidRPr="00200547" w:rsidRDefault="008C794D">
      <w:pPr>
        <w:jc w:val="center"/>
        <w:rPr>
          <w:rFonts w:ascii="Arial" w:eastAsia="SimHei" w:hAnsi="Arial" w:cs="Arial"/>
          <w:color w:val="auto"/>
          <w:sz w:val="48"/>
          <w:szCs w:val="48"/>
          <w:lang w:eastAsia="zh-CN"/>
        </w:rPr>
      </w:pPr>
      <w:r w:rsidRPr="00200547">
        <w:rPr>
          <w:rFonts w:ascii="Arial" w:eastAsia="SimHei" w:hAnsi="Arial" w:cs="Arial"/>
          <w:noProof/>
          <w:color w:val="auto"/>
          <w:sz w:val="48"/>
          <w:szCs w:val="48"/>
          <w:lang w:val="en-GB" w:eastAsia="zh-CN"/>
        </w:rPr>
        <w:drawing>
          <wp:inline distT="0" distB="0" distL="0" distR="0" wp14:anchorId="08EA1A0E" wp14:editId="17F64682">
            <wp:extent cx="1343025" cy="1433830"/>
            <wp:effectExtent l="0" t="0" r="0" b="0"/>
            <wp:docPr id="1" name="Picture 1" descr="Guo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oH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433830"/>
                    </a:xfrm>
                    <a:prstGeom prst="rect">
                      <a:avLst/>
                    </a:prstGeom>
                    <a:noFill/>
                    <a:ln>
                      <a:noFill/>
                    </a:ln>
                  </pic:spPr>
                </pic:pic>
              </a:graphicData>
            </a:graphic>
          </wp:inline>
        </w:drawing>
      </w:r>
    </w:p>
    <w:p w14:paraId="1864518F" w14:textId="77777777" w:rsidR="00505294" w:rsidRPr="00200547" w:rsidRDefault="00505294">
      <w:pPr>
        <w:jc w:val="center"/>
        <w:rPr>
          <w:rFonts w:ascii="Arial" w:eastAsia="SimHei" w:hAnsi="Arial" w:cs="Arial"/>
          <w:color w:val="auto"/>
          <w:sz w:val="48"/>
          <w:szCs w:val="48"/>
          <w:lang w:eastAsia="zh-CN"/>
        </w:rPr>
      </w:pPr>
    </w:p>
    <w:p w14:paraId="5B999DC9" w14:textId="77777777" w:rsidR="00505294" w:rsidRPr="00200547" w:rsidRDefault="00505294">
      <w:pPr>
        <w:jc w:val="center"/>
        <w:rPr>
          <w:rFonts w:ascii="Arial" w:eastAsia="SimHei" w:hAnsi="Arial" w:cs="Arial"/>
          <w:color w:val="auto"/>
          <w:sz w:val="44"/>
          <w:szCs w:val="44"/>
        </w:rPr>
      </w:pPr>
      <w:r w:rsidRPr="00200547">
        <w:rPr>
          <w:rFonts w:ascii="Arial" w:eastAsia="SimHei" w:hAnsi="Arial" w:cs="Arial"/>
          <w:color w:val="auto"/>
          <w:sz w:val="44"/>
          <w:szCs w:val="44"/>
        </w:rPr>
        <w:t xml:space="preserve">THE CENTRAL PEOPLE’S GOVERNMENT OF </w:t>
      </w:r>
      <w:r w:rsidRPr="00200547">
        <w:rPr>
          <w:rFonts w:ascii="Arial" w:eastAsia="SimHei" w:hAnsi="Arial" w:cs="Arial"/>
          <w:color w:val="auto"/>
          <w:sz w:val="44"/>
          <w:szCs w:val="44"/>
        </w:rPr>
        <w:br/>
        <w:t>THE PEOPLE’S REPUBLIC OF CHINA</w:t>
      </w:r>
    </w:p>
    <w:p w14:paraId="2F4702C2" w14:textId="77777777" w:rsidR="00505294" w:rsidRPr="00200547" w:rsidRDefault="00505294">
      <w:pPr>
        <w:rPr>
          <w:rFonts w:ascii="Arial" w:eastAsia="SimSun" w:hAnsi="Arial" w:cs="Arial"/>
          <w:b/>
          <w:color w:val="auto"/>
          <w:sz w:val="24"/>
          <w:szCs w:val="24"/>
          <w:lang w:eastAsia="zh-CN"/>
        </w:rPr>
      </w:pPr>
    </w:p>
    <w:p w14:paraId="5241A50A" w14:textId="77777777" w:rsidR="00505294" w:rsidRPr="00200547" w:rsidRDefault="00505294">
      <w:pPr>
        <w:rPr>
          <w:rFonts w:ascii="Arial" w:eastAsia="SimSun" w:hAnsi="Arial" w:cs="Arial"/>
          <w:b/>
          <w:color w:val="auto"/>
          <w:sz w:val="24"/>
          <w:szCs w:val="24"/>
          <w:lang w:eastAsia="zh-CN"/>
        </w:rPr>
      </w:pPr>
    </w:p>
    <w:p w14:paraId="3B65654C" w14:textId="77777777" w:rsidR="00505294" w:rsidRPr="00200547" w:rsidRDefault="006454CF" w:rsidP="006454CF">
      <w:pPr>
        <w:jc w:val="center"/>
        <w:rPr>
          <w:rFonts w:ascii="Arial" w:eastAsia="SimSun" w:hAnsi="Arial" w:cs="Arial"/>
          <w:b/>
          <w:color w:val="auto"/>
          <w:sz w:val="24"/>
          <w:szCs w:val="24"/>
          <w:lang w:eastAsia="zh-CN"/>
        </w:rPr>
      </w:pPr>
      <w:r w:rsidRPr="00040B61">
        <w:rPr>
          <w:rFonts w:ascii="Arial" w:eastAsia="SimHei" w:hAnsi="Arial" w:cs="Arial"/>
          <w:color w:val="auto"/>
          <w:sz w:val="32"/>
          <w:szCs w:val="32"/>
          <w:lang w:eastAsia="zh-CN"/>
        </w:rPr>
        <w:t>Further Issuance of</w:t>
      </w:r>
    </w:p>
    <w:p w14:paraId="3BEBE755" w14:textId="1F947424" w:rsidR="00505294" w:rsidRPr="00200547" w:rsidRDefault="006454CF">
      <w:pPr>
        <w:jc w:val="center"/>
        <w:rPr>
          <w:rFonts w:ascii="Arial" w:eastAsia="SimHei" w:hAnsi="Arial" w:cs="Arial"/>
          <w:color w:val="auto"/>
          <w:sz w:val="32"/>
          <w:szCs w:val="32"/>
        </w:rPr>
      </w:pPr>
      <w:r w:rsidRPr="00200547">
        <w:rPr>
          <w:rFonts w:ascii="Arial" w:eastAsia="SimHei" w:hAnsi="Arial" w:cs="Arial"/>
          <w:color w:val="auto"/>
          <w:sz w:val="32"/>
          <w:szCs w:val="32"/>
          <w:lang w:eastAsia="zh-CN"/>
        </w:rPr>
        <w:t xml:space="preserve">RMB-denominated </w:t>
      </w:r>
      <w:r w:rsidR="000B53B8">
        <w:rPr>
          <w:rFonts w:ascii="Arial" w:eastAsia="SimHei" w:hAnsi="Arial" w:cs="Arial"/>
          <w:color w:val="auto"/>
          <w:sz w:val="32"/>
          <w:szCs w:val="32"/>
          <w:lang w:eastAsia="zh-CN"/>
        </w:rPr>
        <w:t>2.41</w:t>
      </w:r>
      <w:r w:rsidR="00094DB8" w:rsidRPr="00200547">
        <w:rPr>
          <w:rFonts w:ascii="Arial" w:eastAsia="SimHei" w:hAnsi="Arial" w:cs="Arial"/>
          <w:color w:val="auto"/>
          <w:sz w:val="32"/>
          <w:szCs w:val="32"/>
          <w:lang w:eastAsia="zh-CN"/>
        </w:rPr>
        <w:t xml:space="preserve"> </w:t>
      </w:r>
      <w:r w:rsidR="007F3685">
        <w:rPr>
          <w:rFonts w:ascii="Arial" w:eastAsia="SimHei" w:hAnsi="Arial" w:cs="Arial"/>
          <w:color w:val="auto"/>
          <w:sz w:val="32"/>
          <w:szCs w:val="32"/>
          <w:lang w:eastAsia="zh-CN"/>
        </w:rPr>
        <w:t>p</w:t>
      </w:r>
      <w:r w:rsidR="007F3685" w:rsidRPr="00200547">
        <w:rPr>
          <w:rFonts w:ascii="Arial" w:eastAsia="SimHei" w:hAnsi="Arial" w:cs="Arial"/>
          <w:color w:val="auto"/>
          <w:sz w:val="32"/>
          <w:szCs w:val="32"/>
          <w:lang w:eastAsia="zh-CN"/>
        </w:rPr>
        <w:t xml:space="preserve">er </w:t>
      </w:r>
      <w:r w:rsidR="007F3685">
        <w:rPr>
          <w:rFonts w:ascii="Arial" w:eastAsia="SimHei" w:hAnsi="Arial" w:cs="Arial"/>
          <w:color w:val="auto"/>
          <w:sz w:val="32"/>
          <w:szCs w:val="32"/>
          <w:lang w:eastAsia="zh-CN"/>
        </w:rPr>
        <w:t>c</w:t>
      </w:r>
      <w:r w:rsidR="00593EF4" w:rsidRPr="00200547">
        <w:rPr>
          <w:rFonts w:ascii="Arial" w:eastAsia="SimHei" w:hAnsi="Arial" w:cs="Arial"/>
          <w:color w:val="auto"/>
          <w:sz w:val="32"/>
          <w:szCs w:val="32"/>
          <w:lang w:eastAsia="zh-CN"/>
        </w:rPr>
        <w:t>ent.</w:t>
      </w:r>
      <w:r w:rsidR="00505294" w:rsidRPr="00200547">
        <w:rPr>
          <w:rFonts w:ascii="Arial" w:eastAsia="SimHei" w:hAnsi="Arial" w:cs="Arial"/>
          <w:color w:val="auto"/>
          <w:sz w:val="32"/>
          <w:szCs w:val="32"/>
        </w:rPr>
        <w:t xml:space="preserve"> Bonds due </w:t>
      </w:r>
      <w:r w:rsidR="00C36BBC">
        <w:rPr>
          <w:rFonts w:ascii="Arial" w:eastAsia="SimHei" w:hAnsi="Arial" w:cs="Arial"/>
          <w:color w:val="auto"/>
          <w:sz w:val="32"/>
          <w:szCs w:val="32"/>
        </w:rPr>
        <w:t>2023</w:t>
      </w:r>
    </w:p>
    <w:p w14:paraId="64166FBC" w14:textId="1F16A5A1" w:rsidR="006454CF" w:rsidRPr="00200547" w:rsidRDefault="006454CF">
      <w:pPr>
        <w:jc w:val="center"/>
        <w:rPr>
          <w:rFonts w:ascii="Arial" w:eastAsia="SimHei" w:hAnsi="Arial" w:cs="Arial"/>
          <w:color w:val="auto"/>
          <w:sz w:val="32"/>
          <w:szCs w:val="32"/>
        </w:rPr>
      </w:pPr>
      <w:r w:rsidRPr="00200547">
        <w:rPr>
          <w:rFonts w:ascii="Arial" w:eastAsia="SimHei" w:hAnsi="Arial" w:cs="Arial"/>
          <w:color w:val="auto"/>
          <w:sz w:val="32"/>
          <w:szCs w:val="32"/>
        </w:rPr>
        <w:t>and</w:t>
      </w:r>
    </w:p>
    <w:p w14:paraId="4BC9608E" w14:textId="6299A628" w:rsidR="00505294" w:rsidRDefault="007D246C">
      <w:pPr>
        <w:jc w:val="center"/>
        <w:rPr>
          <w:rFonts w:ascii="Arial" w:eastAsia="SimHei" w:hAnsi="Arial" w:cs="Arial"/>
          <w:color w:val="auto"/>
          <w:sz w:val="32"/>
          <w:szCs w:val="32"/>
        </w:rPr>
      </w:pPr>
      <w:r w:rsidRPr="00200547">
        <w:rPr>
          <w:rFonts w:ascii="Arial" w:eastAsia="SimHei" w:hAnsi="Arial" w:cs="Arial"/>
          <w:color w:val="auto"/>
          <w:sz w:val="32"/>
          <w:szCs w:val="32"/>
          <w:lang w:eastAsia="zh-CN"/>
        </w:rPr>
        <w:t xml:space="preserve">RMB-denominated </w:t>
      </w:r>
      <w:r w:rsidR="000B53B8">
        <w:rPr>
          <w:rFonts w:ascii="Arial" w:eastAsia="SimHei" w:hAnsi="Arial" w:cs="Arial"/>
          <w:color w:val="auto"/>
          <w:sz w:val="32"/>
          <w:szCs w:val="32"/>
          <w:lang w:eastAsia="zh-CN"/>
        </w:rPr>
        <w:t>2.50</w:t>
      </w:r>
      <w:r w:rsidR="00593EF4" w:rsidRPr="00200547">
        <w:rPr>
          <w:rFonts w:ascii="Arial" w:eastAsia="SimHei" w:hAnsi="Arial" w:cs="Arial"/>
          <w:color w:val="auto"/>
          <w:sz w:val="32"/>
          <w:szCs w:val="32"/>
          <w:lang w:eastAsia="zh-CN"/>
        </w:rPr>
        <w:t xml:space="preserve"> </w:t>
      </w:r>
      <w:r w:rsidR="007F3685">
        <w:rPr>
          <w:rFonts w:ascii="Arial" w:eastAsia="SimHei" w:hAnsi="Arial" w:cs="Arial"/>
          <w:color w:val="auto"/>
          <w:sz w:val="32"/>
          <w:szCs w:val="32"/>
          <w:lang w:eastAsia="zh-CN"/>
        </w:rPr>
        <w:t>p</w:t>
      </w:r>
      <w:r w:rsidR="00593EF4" w:rsidRPr="00200547">
        <w:rPr>
          <w:rFonts w:ascii="Arial" w:eastAsia="SimHei" w:hAnsi="Arial" w:cs="Arial"/>
          <w:color w:val="auto"/>
          <w:sz w:val="32"/>
          <w:szCs w:val="32"/>
          <w:lang w:eastAsia="zh-CN"/>
        </w:rPr>
        <w:t xml:space="preserve">er </w:t>
      </w:r>
      <w:r w:rsidR="007F3685">
        <w:rPr>
          <w:rFonts w:ascii="Arial" w:eastAsia="SimHei" w:hAnsi="Arial" w:cs="Arial"/>
          <w:color w:val="auto"/>
          <w:sz w:val="32"/>
          <w:szCs w:val="32"/>
          <w:lang w:eastAsia="zh-CN"/>
        </w:rPr>
        <w:t>c</w:t>
      </w:r>
      <w:r w:rsidR="00593EF4" w:rsidRPr="00200547">
        <w:rPr>
          <w:rFonts w:ascii="Arial" w:eastAsia="SimHei" w:hAnsi="Arial" w:cs="Arial"/>
          <w:color w:val="auto"/>
          <w:sz w:val="32"/>
          <w:szCs w:val="32"/>
          <w:lang w:eastAsia="zh-CN"/>
        </w:rPr>
        <w:t>ent.</w:t>
      </w:r>
      <w:r w:rsidR="00505294" w:rsidRPr="00200547">
        <w:rPr>
          <w:rFonts w:ascii="Arial" w:eastAsia="SimHei" w:hAnsi="Arial" w:cs="Arial"/>
          <w:color w:val="auto"/>
          <w:sz w:val="32"/>
          <w:szCs w:val="32"/>
        </w:rPr>
        <w:t xml:space="preserve"> Bonds due </w:t>
      </w:r>
      <w:r w:rsidR="000B53B8">
        <w:rPr>
          <w:rFonts w:ascii="Arial" w:eastAsia="SimHei" w:hAnsi="Arial" w:cs="Arial"/>
          <w:color w:val="auto"/>
          <w:sz w:val="32"/>
          <w:szCs w:val="32"/>
        </w:rPr>
        <w:t>2026</w:t>
      </w:r>
    </w:p>
    <w:p w14:paraId="631AD300" w14:textId="1F7B8B1C" w:rsidR="000B53B8" w:rsidRDefault="000B53B8" w:rsidP="000B53B8">
      <w:pPr>
        <w:jc w:val="center"/>
        <w:rPr>
          <w:rFonts w:ascii="Arial" w:eastAsia="SimHei" w:hAnsi="Arial" w:cs="Arial"/>
          <w:color w:val="auto"/>
          <w:sz w:val="32"/>
          <w:szCs w:val="32"/>
        </w:rPr>
      </w:pPr>
      <w:r>
        <w:rPr>
          <w:rFonts w:ascii="Arial" w:eastAsia="SimHei" w:hAnsi="Arial" w:cs="Arial"/>
          <w:color w:val="auto"/>
          <w:sz w:val="32"/>
          <w:szCs w:val="32"/>
        </w:rPr>
        <w:t>and</w:t>
      </w:r>
    </w:p>
    <w:p w14:paraId="619483D1" w14:textId="6A1DEDAA" w:rsidR="000B53B8" w:rsidRPr="00200547" w:rsidRDefault="000B53B8" w:rsidP="000B53B8">
      <w:pPr>
        <w:jc w:val="center"/>
        <w:rPr>
          <w:rFonts w:ascii="Arial" w:eastAsia="SimHei" w:hAnsi="Arial" w:cs="Arial"/>
          <w:color w:val="auto"/>
          <w:sz w:val="32"/>
          <w:szCs w:val="32"/>
        </w:rPr>
      </w:pPr>
      <w:r>
        <w:rPr>
          <w:rFonts w:ascii="Arial" w:eastAsia="SimHei" w:hAnsi="Arial" w:cs="Arial"/>
          <w:color w:val="auto"/>
          <w:sz w:val="32"/>
          <w:szCs w:val="32"/>
        </w:rPr>
        <w:t>RMB-denominated 4.15 per cent. Bonds due 2031</w:t>
      </w:r>
    </w:p>
    <w:p w14:paraId="0789F896" w14:textId="77777777" w:rsidR="00FA79ED" w:rsidRPr="00200547" w:rsidRDefault="00FA79ED">
      <w:pPr>
        <w:jc w:val="center"/>
        <w:rPr>
          <w:rFonts w:ascii="Arial" w:eastAsia="SimHei" w:hAnsi="Arial" w:cs="Arial"/>
          <w:color w:val="auto"/>
          <w:sz w:val="32"/>
          <w:szCs w:val="32"/>
        </w:rPr>
      </w:pPr>
    </w:p>
    <w:p w14:paraId="53125387" w14:textId="77777777" w:rsidR="00505294" w:rsidRPr="00200547" w:rsidRDefault="00505294">
      <w:pPr>
        <w:rPr>
          <w:rFonts w:ascii="Arial" w:eastAsia="SimSun" w:hAnsi="Arial" w:cs="Arial"/>
          <w:b/>
          <w:color w:val="auto"/>
          <w:sz w:val="24"/>
          <w:szCs w:val="24"/>
          <w:lang w:eastAsia="zh-CN"/>
        </w:rPr>
      </w:pPr>
    </w:p>
    <w:p w14:paraId="011B555D" w14:textId="77777777" w:rsidR="00505294" w:rsidRPr="00200547" w:rsidRDefault="00505294">
      <w:pPr>
        <w:rPr>
          <w:rFonts w:ascii="Arial" w:eastAsia="SimSun" w:hAnsi="Arial" w:cs="Arial"/>
          <w:b/>
          <w:color w:val="auto"/>
          <w:sz w:val="24"/>
          <w:szCs w:val="24"/>
          <w:lang w:eastAsia="zh-CN"/>
        </w:rPr>
      </w:pPr>
    </w:p>
    <w:p w14:paraId="10A672CE" w14:textId="77777777" w:rsidR="00505294" w:rsidRPr="00200547" w:rsidRDefault="008C794D">
      <w:pPr>
        <w:rPr>
          <w:rFonts w:ascii="Arial" w:eastAsia="SimHei" w:hAnsi="Arial" w:cs="Arial"/>
          <w:color w:val="auto"/>
          <w:sz w:val="28"/>
          <w:szCs w:val="28"/>
          <w:lang w:eastAsia="zh-CN"/>
        </w:rPr>
      </w:pPr>
      <w:r w:rsidRPr="00200547">
        <w:rPr>
          <w:rFonts w:ascii="Arial" w:eastAsia="SimHei" w:hAnsi="Arial" w:cs="Arial"/>
          <w:noProof/>
          <w:color w:val="auto"/>
          <w:sz w:val="28"/>
          <w:szCs w:val="28"/>
          <w:lang w:val="en-GB" w:eastAsia="zh-CN"/>
        </w:rPr>
        <mc:AlternateContent>
          <mc:Choice Requires="wps">
            <w:drawing>
              <wp:anchor distT="0" distB="0" distL="114300" distR="114300" simplePos="0" relativeHeight="251657216" behindDoc="0" locked="0" layoutInCell="1" allowOverlap="1" wp14:anchorId="5DFB9E46" wp14:editId="18F3D459">
                <wp:simplePos x="0" y="0"/>
                <wp:positionH relativeFrom="column">
                  <wp:posOffset>1257300</wp:posOffset>
                </wp:positionH>
                <wp:positionV relativeFrom="paragraph">
                  <wp:posOffset>66040</wp:posOffset>
                </wp:positionV>
                <wp:extent cx="32131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7EB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2pt" to="35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2+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"/>
            </w:pict>
          </mc:Fallback>
        </mc:AlternateContent>
      </w:r>
    </w:p>
    <w:p w14:paraId="5C8F0E25" w14:textId="77777777" w:rsidR="00505294" w:rsidRPr="00200547" w:rsidRDefault="00505294">
      <w:pPr>
        <w:jc w:val="center"/>
        <w:rPr>
          <w:rFonts w:ascii="Arial" w:eastAsia="SimHei" w:hAnsi="Arial" w:cs="Arial"/>
          <w:color w:val="auto"/>
          <w:sz w:val="48"/>
          <w:szCs w:val="48"/>
          <w:lang w:eastAsia="zh-CN"/>
        </w:rPr>
      </w:pPr>
      <w:r w:rsidRPr="00200547">
        <w:rPr>
          <w:rFonts w:ascii="Arial" w:eastAsia="SimHei" w:hAnsi="Arial" w:cs="Arial"/>
          <w:color w:val="auto"/>
          <w:sz w:val="48"/>
          <w:szCs w:val="48"/>
          <w:lang w:eastAsia="zh-CN"/>
        </w:rPr>
        <w:t>Tender Information Memorandum</w:t>
      </w:r>
    </w:p>
    <w:p w14:paraId="771E8774" w14:textId="77777777" w:rsidR="00505294" w:rsidRPr="00200547" w:rsidRDefault="008C794D">
      <w:pPr>
        <w:jc w:val="center"/>
        <w:rPr>
          <w:rFonts w:ascii="Arial" w:eastAsia="SimHei" w:hAnsi="Arial" w:cs="Arial"/>
          <w:color w:val="auto"/>
          <w:sz w:val="28"/>
          <w:szCs w:val="28"/>
          <w:lang w:eastAsia="zh-CN"/>
        </w:rPr>
      </w:pPr>
      <w:r w:rsidRPr="00200547">
        <w:rPr>
          <w:rFonts w:ascii="Arial" w:eastAsia="SimHei" w:hAnsi="Arial" w:cs="Arial"/>
          <w:noProof/>
          <w:color w:val="auto"/>
          <w:sz w:val="28"/>
          <w:szCs w:val="28"/>
          <w:lang w:val="en-GB" w:eastAsia="zh-CN"/>
        </w:rPr>
        <mc:AlternateContent>
          <mc:Choice Requires="wps">
            <w:drawing>
              <wp:anchor distT="0" distB="0" distL="114300" distR="114300" simplePos="0" relativeHeight="251656192" behindDoc="0" locked="0" layoutInCell="1" allowOverlap="1" wp14:anchorId="5D2629E8" wp14:editId="1C227F60">
                <wp:simplePos x="0" y="0"/>
                <wp:positionH relativeFrom="column">
                  <wp:posOffset>1187450</wp:posOffset>
                </wp:positionH>
                <wp:positionV relativeFrom="paragraph">
                  <wp:posOffset>203200</wp:posOffset>
                </wp:positionV>
                <wp:extent cx="32829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9833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6pt" to="3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1f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"/>
            </w:pict>
          </mc:Fallback>
        </mc:AlternateContent>
      </w:r>
    </w:p>
    <w:p w14:paraId="693F65C6" w14:textId="77777777" w:rsidR="00505294" w:rsidRPr="00200547" w:rsidRDefault="00505294">
      <w:pPr>
        <w:jc w:val="center"/>
        <w:rPr>
          <w:rFonts w:ascii="Arial" w:eastAsia="SimHei" w:hAnsi="Arial" w:cs="Arial"/>
          <w:color w:val="auto"/>
          <w:sz w:val="28"/>
          <w:szCs w:val="28"/>
          <w:lang w:eastAsia="zh-CN"/>
        </w:rPr>
      </w:pPr>
    </w:p>
    <w:p w14:paraId="403047DA" w14:textId="77777777" w:rsidR="00505294" w:rsidRPr="00200547" w:rsidRDefault="00505294">
      <w:pPr>
        <w:jc w:val="center"/>
        <w:rPr>
          <w:rFonts w:ascii="Arial" w:hAnsi="Arial" w:cs="Arial"/>
          <w:color w:val="auto"/>
          <w:sz w:val="28"/>
          <w:szCs w:val="28"/>
        </w:rPr>
      </w:pPr>
    </w:p>
    <w:p w14:paraId="174157C1" w14:textId="77777777" w:rsidR="00505294" w:rsidRPr="00200547" w:rsidRDefault="00505294">
      <w:pPr>
        <w:jc w:val="center"/>
        <w:rPr>
          <w:rFonts w:ascii="Arial" w:hAnsi="Arial" w:cs="Arial"/>
          <w:color w:val="auto"/>
          <w:sz w:val="28"/>
          <w:szCs w:val="28"/>
        </w:rPr>
      </w:pPr>
    </w:p>
    <w:p w14:paraId="40D04D9F" w14:textId="77777777" w:rsidR="00505294" w:rsidRPr="00200547" w:rsidRDefault="00505294">
      <w:pPr>
        <w:jc w:val="center"/>
        <w:rPr>
          <w:rFonts w:ascii="Arial" w:hAnsi="Arial" w:cs="Arial"/>
          <w:color w:val="auto"/>
          <w:sz w:val="28"/>
          <w:szCs w:val="28"/>
        </w:rPr>
      </w:pPr>
    </w:p>
    <w:p w14:paraId="123EA3AF" w14:textId="77777777" w:rsidR="00505294" w:rsidRPr="00200547" w:rsidRDefault="00505294">
      <w:pPr>
        <w:jc w:val="center"/>
        <w:rPr>
          <w:rFonts w:ascii="Arial" w:hAnsi="Arial" w:cs="Arial"/>
          <w:color w:val="auto"/>
          <w:sz w:val="28"/>
          <w:szCs w:val="28"/>
        </w:rPr>
      </w:pPr>
    </w:p>
    <w:p w14:paraId="081A18AA" w14:textId="77777777" w:rsidR="00505294" w:rsidRPr="00200547" w:rsidRDefault="00505294">
      <w:pPr>
        <w:jc w:val="center"/>
        <w:rPr>
          <w:rFonts w:ascii="Arial" w:hAnsi="Arial" w:cs="Arial"/>
          <w:color w:val="auto"/>
          <w:sz w:val="28"/>
          <w:szCs w:val="28"/>
        </w:rPr>
      </w:pPr>
    </w:p>
    <w:p w14:paraId="6C30EC0D" w14:textId="77777777" w:rsidR="00505294" w:rsidRPr="00200547" w:rsidRDefault="00505294">
      <w:pPr>
        <w:jc w:val="center"/>
        <w:rPr>
          <w:rFonts w:ascii="Arial" w:hAnsi="Arial" w:cs="Arial"/>
          <w:color w:val="auto"/>
          <w:sz w:val="28"/>
          <w:szCs w:val="28"/>
        </w:rPr>
      </w:pPr>
    </w:p>
    <w:p w14:paraId="2BDC94B4" w14:textId="77777777" w:rsidR="00505294" w:rsidRPr="00200547" w:rsidRDefault="00505294">
      <w:pPr>
        <w:jc w:val="center"/>
        <w:rPr>
          <w:rFonts w:ascii="Arial" w:hAnsi="Arial" w:cs="Arial"/>
          <w:color w:val="auto"/>
          <w:sz w:val="28"/>
          <w:szCs w:val="28"/>
        </w:rPr>
      </w:pPr>
    </w:p>
    <w:p w14:paraId="4841791C" w14:textId="77777777" w:rsidR="00505294" w:rsidRPr="00200547" w:rsidRDefault="00505294">
      <w:pPr>
        <w:jc w:val="center"/>
        <w:rPr>
          <w:rFonts w:ascii="Arial" w:hAnsi="Arial" w:cs="Arial"/>
          <w:color w:val="auto"/>
          <w:sz w:val="28"/>
          <w:szCs w:val="28"/>
        </w:rPr>
      </w:pPr>
    </w:p>
    <w:p w14:paraId="12CFF819" w14:textId="77777777" w:rsidR="00505294" w:rsidRPr="00200547" w:rsidRDefault="00505294">
      <w:pPr>
        <w:jc w:val="center"/>
        <w:rPr>
          <w:rFonts w:ascii="Arial" w:hAnsi="Arial" w:cs="Arial"/>
          <w:color w:val="auto"/>
          <w:sz w:val="28"/>
          <w:szCs w:val="28"/>
        </w:rPr>
      </w:pPr>
    </w:p>
    <w:p w14:paraId="4F6D9127" w14:textId="77777777" w:rsidR="00505294" w:rsidRPr="00200547" w:rsidRDefault="00505294">
      <w:pPr>
        <w:jc w:val="center"/>
        <w:rPr>
          <w:rFonts w:ascii="Arial" w:hAnsi="Arial" w:cs="Arial"/>
          <w:color w:val="auto"/>
          <w:sz w:val="28"/>
          <w:szCs w:val="28"/>
        </w:rPr>
      </w:pPr>
    </w:p>
    <w:p w14:paraId="3966563E" w14:textId="77777777" w:rsidR="00505294" w:rsidRPr="00200547" w:rsidRDefault="00505294">
      <w:pPr>
        <w:jc w:val="center"/>
        <w:rPr>
          <w:rFonts w:ascii="Arial" w:eastAsia="SimHei" w:hAnsi="Arial" w:cs="Arial"/>
          <w:color w:val="auto"/>
          <w:sz w:val="28"/>
          <w:szCs w:val="28"/>
          <w:lang w:eastAsia="zh-CN"/>
        </w:rPr>
      </w:pPr>
    </w:p>
    <w:p w14:paraId="26075088" w14:textId="77777777" w:rsidR="00505294" w:rsidRPr="00200547" w:rsidRDefault="00505294">
      <w:pPr>
        <w:jc w:val="center"/>
        <w:rPr>
          <w:rFonts w:ascii="Arial" w:eastAsia="SimHei" w:hAnsi="Arial" w:cs="Arial"/>
          <w:color w:val="auto"/>
          <w:sz w:val="28"/>
          <w:szCs w:val="28"/>
          <w:lang w:eastAsia="zh-CN"/>
        </w:rPr>
      </w:pPr>
    </w:p>
    <w:p w14:paraId="01A93A3E" w14:textId="45093D37" w:rsidR="00505294" w:rsidRPr="00200547" w:rsidRDefault="000B53B8">
      <w:pPr>
        <w:jc w:val="center"/>
        <w:rPr>
          <w:rFonts w:ascii="Arial" w:eastAsia="SimHei" w:hAnsi="Arial" w:cs="Arial"/>
          <w:color w:val="auto"/>
          <w:sz w:val="28"/>
          <w:szCs w:val="28"/>
        </w:rPr>
        <w:sectPr w:rsidR="00505294" w:rsidRPr="00200547">
          <w:footerReference w:type="even" r:id="rId9"/>
          <w:footerReference w:type="default" r:id="rId10"/>
          <w:pgSz w:w="11906" w:h="16838"/>
          <w:pgMar w:top="850" w:right="1417" w:bottom="850" w:left="1417" w:header="720" w:footer="720" w:gutter="0"/>
          <w:cols w:space="720"/>
          <w:noEndnote/>
          <w:docGrid w:linePitch="299"/>
        </w:sectPr>
      </w:pPr>
      <w:r>
        <w:rPr>
          <w:rFonts w:ascii="Arial" w:eastAsia="SimHei" w:hAnsi="Arial" w:cs="Arial"/>
          <w:b/>
          <w:color w:val="auto"/>
          <w:sz w:val="28"/>
          <w:szCs w:val="28"/>
          <w:lang w:eastAsia="zh-CN"/>
        </w:rPr>
        <w:t>1</w:t>
      </w:r>
      <w:r w:rsidR="0094565E">
        <w:rPr>
          <w:rFonts w:ascii="Arial" w:eastAsia="SimHei" w:hAnsi="Arial" w:cs="Arial"/>
          <w:b/>
          <w:color w:val="auto"/>
          <w:sz w:val="28"/>
          <w:szCs w:val="28"/>
          <w:lang w:eastAsia="zh-CN"/>
        </w:rPr>
        <w:t>1</w:t>
      </w:r>
      <w:r w:rsidR="00724123">
        <w:rPr>
          <w:rFonts w:ascii="Arial" w:eastAsia="SimHei" w:hAnsi="Arial" w:cs="Arial"/>
          <w:b/>
          <w:color w:val="auto"/>
          <w:sz w:val="28"/>
          <w:szCs w:val="28"/>
          <w:lang w:eastAsia="zh-CN"/>
        </w:rPr>
        <w:t xml:space="preserve"> November</w:t>
      </w:r>
      <w:r>
        <w:rPr>
          <w:rFonts w:ascii="Arial" w:eastAsia="SimHei" w:hAnsi="Arial" w:cs="Arial"/>
          <w:b/>
          <w:color w:val="auto"/>
          <w:sz w:val="28"/>
          <w:szCs w:val="28"/>
          <w:lang w:eastAsia="zh-CN"/>
        </w:rPr>
        <w:t xml:space="preserve"> 2021</w:t>
      </w:r>
    </w:p>
    <w:p w14:paraId="542BFEEA" w14:textId="77777777" w:rsidR="00505294" w:rsidRPr="00200547" w:rsidRDefault="00505294">
      <w:pPr>
        <w:pStyle w:val="Body"/>
        <w:jc w:val="center"/>
        <w:rPr>
          <w:rFonts w:eastAsia="SimHei" w:cs="Arial"/>
          <w:b/>
          <w:sz w:val="24"/>
          <w:lang w:eastAsia="zh-CN"/>
        </w:rPr>
      </w:pPr>
      <w:bookmarkStart w:id="0" w:name="bmkStart"/>
      <w:bookmarkEnd w:id="0"/>
      <w:r w:rsidRPr="00200547">
        <w:rPr>
          <w:rFonts w:eastAsia="SimHei" w:cs="Arial"/>
          <w:b/>
          <w:sz w:val="24"/>
          <w:lang w:eastAsia="zh-CN"/>
        </w:rPr>
        <w:lastRenderedPageBreak/>
        <w:t>Summary</w:t>
      </w:r>
    </w:p>
    <w:p w14:paraId="1EAD8E91" w14:textId="750E6ECC" w:rsidR="00C36BBC" w:rsidRPr="00E049EC" w:rsidRDefault="00505294" w:rsidP="00E049EC">
      <w:pPr>
        <w:pStyle w:val="SubHead"/>
        <w:rPr>
          <w:rFonts w:cs="Arial"/>
          <w:szCs w:val="20"/>
          <w:lang w:eastAsia="zh-CN"/>
        </w:rPr>
      </w:pPr>
      <w:r w:rsidRPr="00200547">
        <w:rPr>
          <w:rFonts w:cs="Arial"/>
          <w:szCs w:val="20"/>
          <w:lang w:eastAsia="zh-CN"/>
        </w:rPr>
        <w:t xml:space="preserve">The Ministry of Finance is offering the following </w:t>
      </w:r>
      <w:r w:rsidR="007D246C" w:rsidRPr="00200547">
        <w:rPr>
          <w:rFonts w:cs="Arial"/>
          <w:szCs w:val="20"/>
          <w:lang w:eastAsia="zh-CN"/>
        </w:rPr>
        <w:t xml:space="preserve">Additional </w:t>
      </w:r>
      <w:r w:rsidRPr="00200547">
        <w:rPr>
          <w:rFonts w:cs="Arial"/>
          <w:szCs w:val="20"/>
          <w:lang w:eastAsia="zh-CN"/>
        </w:rPr>
        <w:t>Bonds</w:t>
      </w:r>
      <w:r w:rsidRPr="00200547">
        <w:rPr>
          <w:rFonts w:cs="Arial"/>
          <w:szCs w:val="20"/>
          <w:lang w:eastAsia="zh-TW"/>
        </w:rPr>
        <w:t xml:space="preserve"> to qualified bidders through a competitive tender</w:t>
      </w:r>
      <w:r w:rsidRPr="00200547">
        <w:rPr>
          <w:rFonts w:cs="Arial"/>
          <w:szCs w:val="20"/>
          <w:lang w:eastAsia="zh-CN"/>
        </w:rPr>
        <w:t>:</w:t>
      </w:r>
    </w:p>
    <w:tbl>
      <w:tblPr>
        <w:tblW w:w="106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3060"/>
        <w:gridCol w:w="3060"/>
        <w:gridCol w:w="2896"/>
        <w:gridCol w:w="6"/>
      </w:tblGrid>
      <w:tr w:rsidR="00912728" w:rsidRPr="00200547" w14:paraId="77EB0226" w14:textId="2B0491F9" w:rsidTr="00E049EC">
        <w:trPr>
          <w:gridAfter w:val="1"/>
          <w:wAfter w:w="6" w:type="dxa"/>
        </w:trPr>
        <w:tc>
          <w:tcPr>
            <w:tcW w:w="1663" w:type="dxa"/>
            <w:shd w:val="clear" w:color="auto" w:fill="808080"/>
          </w:tcPr>
          <w:p w14:paraId="2D86D945" w14:textId="77777777" w:rsidR="00912728" w:rsidRPr="00200547" w:rsidRDefault="00912728" w:rsidP="00505294">
            <w:pPr>
              <w:pStyle w:val="Body"/>
              <w:spacing w:beforeLines="20" w:before="48" w:afterLines="20" w:after="48" w:line="240" w:lineRule="auto"/>
              <w:jc w:val="left"/>
              <w:rPr>
                <w:rFonts w:eastAsia="SimSun" w:cs="Arial"/>
                <w:b/>
                <w:color w:val="FFFFFF" w:themeColor="background1"/>
                <w:sz w:val="19"/>
                <w:szCs w:val="19"/>
                <w:lang w:eastAsia="zh-CN"/>
              </w:rPr>
            </w:pPr>
            <w:r w:rsidRPr="00200547">
              <w:rPr>
                <w:rFonts w:eastAsia="SimSun" w:cs="Arial"/>
                <w:b/>
                <w:color w:val="FFFFFF" w:themeColor="background1"/>
                <w:sz w:val="19"/>
                <w:szCs w:val="19"/>
                <w:lang w:eastAsia="zh-CN"/>
              </w:rPr>
              <w:t>Series</w:t>
            </w:r>
          </w:p>
        </w:tc>
        <w:tc>
          <w:tcPr>
            <w:tcW w:w="3060" w:type="dxa"/>
            <w:shd w:val="clear" w:color="auto" w:fill="808080"/>
          </w:tcPr>
          <w:p w14:paraId="2949E996" w14:textId="45DF5365" w:rsidR="00912728" w:rsidRPr="007C25EB" w:rsidRDefault="00912728" w:rsidP="007C25EB">
            <w:pPr>
              <w:widowControl/>
              <w:spacing w:line="240" w:lineRule="auto"/>
              <w:rPr>
                <w:rFonts w:ascii="Arial" w:eastAsia="SimSun" w:hAnsi="Arial" w:cs="Arial"/>
                <w:b/>
                <w:color w:val="FFFFFF" w:themeColor="background1"/>
                <w:kern w:val="20"/>
                <w:sz w:val="19"/>
                <w:szCs w:val="19"/>
                <w:lang w:eastAsia="zh-CN"/>
              </w:rPr>
            </w:pPr>
            <w:r w:rsidRPr="007C25EB">
              <w:rPr>
                <w:rFonts w:ascii="Arial" w:eastAsia="SimSun" w:hAnsi="Arial" w:cs="Arial"/>
                <w:b/>
                <w:color w:val="FFFFFF" w:themeColor="background1"/>
                <w:kern w:val="20"/>
                <w:sz w:val="19"/>
                <w:szCs w:val="19"/>
                <w:lang w:eastAsia="zh-CN"/>
              </w:rPr>
              <w:t>RMB</w:t>
            </w:r>
            <w:r>
              <w:rPr>
                <w:rFonts w:ascii="Arial" w:eastAsia="SimSun" w:hAnsi="Arial" w:cs="Arial"/>
                <w:b/>
                <w:color w:val="FFFFFF" w:themeColor="background1"/>
                <w:kern w:val="20"/>
                <w:sz w:val="19"/>
                <w:szCs w:val="19"/>
                <w:lang w:eastAsia="zh-CN"/>
              </w:rPr>
              <w:t>3.0</w:t>
            </w:r>
            <w:r w:rsidRPr="007C25EB">
              <w:rPr>
                <w:rFonts w:ascii="Arial" w:eastAsia="SimSun" w:hAnsi="Arial" w:cs="Arial"/>
                <w:b/>
                <w:color w:val="FFFFFF" w:themeColor="background1"/>
                <w:kern w:val="20"/>
                <w:sz w:val="19"/>
                <w:szCs w:val="19"/>
                <w:lang w:eastAsia="zh-CN"/>
              </w:rPr>
              <w:t xml:space="preserve"> billion </w:t>
            </w:r>
            <w:r>
              <w:rPr>
                <w:rFonts w:ascii="Arial" w:eastAsia="SimSun" w:hAnsi="Arial" w:cs="Arial"/>
                <w:b/>
                <w:color w:val="FFFFFF" w:themeColor="background1"/>
                <w:kern w:val="20"/>
                <w:sz w:val="19"/>
                <w:szCs w:val="19"/>
                <w:lang w:eastAsia="zh-CN"/>
              </w:rPr>
              <w:t xml:space="preserve">2.41 per cent. </w:t>
            </w:r>
            <w:r w:rsidRPr="007C25EB">
              <w:rPr>
                <w:rFonts w:ascii="Arial" w:eastAsia="SimSun" w:hAnsi="Arial" w:cs="Arial"/>
                <w:b/>
                <w:color w:val="FFFFFF" w:themeColor="background1"/>
                <w:kern w:val="20"/>
                <w:sz w:val="19"/>
                <w:szCs w:val="19"/>
                <w:lang w:eastAsia="zh-CN"/>
              </w:rPr>
              <w:t xml:space="preserve"> Bonds due </w:t>
            </w:r>
            <w:r>
              <w:rPr>
                <w:rFonts w:ascii="Arial" w:eastAsia="SimSun" w:hAnsi="Arial" w:cs="Arial"/>
                <w:b/>
                <w:color w:val="FFFFFF" w:themeColor="background1"/>
                <w:kern w:val="20"/>
                <w:sz w:val="19"/>
                <w:szCs w:val="19"/>
                <w:lang w:eastAsia="zh-CN"/>
              </w:rPr>
              <w:t>2023</w:t>
            </w:r>
            <w:r w:rsidRPr="007C25EB">
              <w:rPr>
                <w:rFonts w:ascii="Arial" w:eastAsia="SimSun" w:hAnsi="Arial" w:cs="Arial"/>
                <w:b/>
                <w:color w:val="FFFFFF" w:themeColor="background1"/>
                <w:kern w:val="20"/>
                <w:sz w:val="19"/>
                <w:szCs w:val="19"/>
                <w:lang w:eastAsia="zh-CN"/>
              </w:rPr>
              <w:t xml:space="preserve"> (to be consolidated and form a single series with the RMB</w:t>
            </w:r>
            <w:r w:rsidR="00E47FB1">
              <w:rPr>
                <w:rFonts w:ascii="Arial" w:eastAsia="SimSun" w:hAnsi="Arial" w:cs="Arial"/>
                <w:b/>
                <w:color w:val="FFFFFF" w:themeColor="background1"/>
                <w:kern w:val="20"/>
                <w:sz w:val="19"/>
                <w:szCs w:val="19"/>
                <w:lang w:eastAsia="zh-CN"/>
              </w:rPr>
              <w:t>9.5</w:t>
            </w:r>
            <w:r w:rsidR="00F61468">
              <w:rPr>
                <w:rFonts w:ascii="Arial" w:eastAsia="SimSun" w:hAnsi="Arial" w:cs="Arial"/>
                <w:b/>
                <w:color w:val="FFFFFF" w:themeColor="background1"/>
                <w:kern w:val="20"/>
                <w:sz w:val="19"/>
                <w:szCs w:val="19"/>
                <w:lang w:eastAsia="zh-CN"/>
              </w:rPr>
              <w:t xml:space="preserve"> </w:t>
            </w:r>
            <w:r>
              <w:rPr>
                <w:rFonts w:ascii="Arial" w:eastAsia="SimSun" w:hAnsi="Arial" w:cs="Arial"/>
                <w:b/>
                <w:color w:val="FFFFFF" w:themeColor="background1"/>
                <w:kern w:val="20"/>
                <w:sz w:val="19"/>
                <w:szCs w:val="19"/>
                <w:lang w:eastAsia="zh-CN"/>
              </w:rPr>
              <w:t>billion</w:t>
            </w:r>
            <w:r w:rsidRPr="007C25EB">
              <w:rPr>
                <w:rFonts w:ascii="Arial" w:eastAsia="SimSun" w:hAnsi="Arial" w:cs="Arial"/>
                <w:b/>
                <w:color w:val="FFFFFF" w:themeColor="background1"/>
                <w:kern w:val="20"/>
                <w:sz w:val="19"/>
                <w:szCs w:val="19"/>
                <w:lang w:eastAsia="zh-CN"/>
              </w:rPr>
              <w:t xml:space="preserve"> </w:t>
            </w:r>
            <w:r>
              <w:rPr>
                <w:rFonts w:ascii="Arial" w:eastAsia="SimSun" w:hAnsi="Arial" w:cs="Arial"/>
                <w:b/>
                <w:color w:val="FFFFFF" w:themeColor="background1"/>
                <w:kern w:val="20"/>
                <w:sz w:val="19"/>
                <w:szCs w:val="19"/>
                <w:lang w:eastAsia="zh-CN"/>
              </w:rPr>
              <w:t xml:space="preserve">2.41 per cent. </w:t>
            </w:r>
            <w:r w:rsidRPr="007C25EB">
              <w:rPr>
                <w:rFonts w:ascii="Arial" w:eastAsia="SimSun" w:hAnsi="Arial" w:cs="Arial"/>
                <w:b/>
                <w:color w:val="FFFFFF" w:themeColor="background1"/>
                <w:kern w:val="20"/>
                <w:sz w:val="19"/>
                <w:szCs w:val="19"/>
                <w:lang w:eastAsia="zh-CN"/>
              </w:rPr>
              <w:t xml:space="preserve"> Bonds due </w:t>
            </w:r>
            <w:r>
              <w:rPr>
                <w:rFonts w:ascii="Arial" w:eastAsia="SimSun" w:hAnsi="Arial" w:cs="Arial"/>
                <w:b/>
                <w:color w:val="FFFFFF" w:themeColor="background1"/>
                <w:kern w:val="20"/>
                <w:sz w:val="19"/>
                <w:szCs w:val="19"/>
                <w:lang w:eastAsia="zh-CN"/>
              </w:rPr>
              <w:t>2023</w:t>
            </w:r>
            <w:r w:rsidRPr="007C25EB">
              <w:rPr>
                <w:rFonts w:ascii="Arial" w:eastAsia="SimSun" w:hAnsi="Arial" w:cs="Arial"/>
                <w:b/>
                <w:color w:val="FFFFFF" w:themeColor="background1"/>
                <w:kern w:val="20"/>
                <w:sz w:val="19"/>
                <w:szCs w:val="19"/>
                <w:lang w:eastAsia="zh-CN"/>
              </w:rPr>
              <w:t>)</w:t>
            </w:r>
          </w:p>
          <w:p w14:paraId="1392D7D7" w14:textId="6D5171BC" w:rsidR="00912728" w:rsidRPr="007C25EB" w:rsidRDefault="00912728" w:rsidP="007C25EB">
            <w:pPr>
              <w:widowControl/>
              <w:spacing w:line="240" w:lineRule="auto"/>
              <w:rPr>
                <w:rFonts w:ascii="Arial" w:eastAsia="SimSun" w:hAnsi="Arial" w:cs="Arial"/>
                <w:b/>
                <w:color w:val="FFFFFF" w:themeColor="background1"/>
                <w:sz w:val="19"/>
                <w:szCs w:val="19"/>
                <w:lang w:eastAsia="zh-CN"/>
              </w:rPr>
            </w:pPr>
            <w:r w:rsidRPr="007C25EB">
              <w:rPr>
                <w:rFonts w:ascii="Arial" w:eastAsia="SimSun" w:hAnsi="Arial" w:cs="Arial"/>
                <w:b/>
                <w:color w:val="FFFFFF" w:themeColor="background1"/>
                <w:kern w:val="20"/>
                <w:sz w:val="19"/>
                <w:szCs w:val="19"/>
                <w:lang w:eastAsia="zh-CN"/>
              </w:rPr>
              <w:t xml:space="preserve">(CMU Instrument No: </w:t>
            </w:r>
            <w:r>
              <w:rPr>
                <w:rFonts w:ascii="Arial" w:eastAsia="SimSun" w:hAnsi="Arial" w:cs="Arial"/>
                <w:b/>
                <w:color w:val="FFFFFF" w:themeColor="background1"/>
                <w:kern w:val="20"/>
                <w:sz w:val="19"/>
                <w:szCs w:val="19"/>
                <w:lang w:eastAsia="zh-CN"/>
              </w:rPr>
              <w:t>BCMKFB21002</w:t>
            </w:r>
            <w:r w:rsidRPr="007C25EB">
              <w:rPr>
                <w:rFonts w:ascii="Arial" w:eastAsia="SimSun" w:hAnsi="Arial" w:cs="Arial"/>
                <w:b/>
                <w:color w:val="FFFFFF" w:themeColor="background1"/>
                <w:kern w:val="20"/>
                <w:sz w:val="19"/>
                <w:szCs w:val="19"/>
                <w:lang w:eastAsia="zh-CN"/>
              </w:rPr>
              <w:t>)</w:t>
            </w:r>
          </w:p>
        </w:tc>
        <w:tc>
          <w:tcPr>
            <w:tcW w:w="3060" w:type="dxa"/>
            <w:shd w:val="clear" w:color="auto" w:fill="808080"/>
          </w:tcPr>
          <w:p w14:paraId="036F1D5D" w14:textId="40F3334C" w:rsidR="00912728" w:rsidRPr="007C25EB" w:rsidRDefault="00912728" w:rsidP="007C25EB">
            <w:pPr>
              <w:widowControl/>
              <w:spacing w:line="240" w:lineRule="auto"/>
              <w:rPr>
                <w:rFonts w:ascii="Arial" w:eastAsia="SimSun" w:hAnsi="Arial" w:cs="Arial"/>
                <w:b/>
                <w:color w:val="FFFFFF" w:themeColor="background1"/>
                <w:kern w:val="20"/>
                <w:sz w:val="19"/>
                <w:szCs w:val="19"/>
                <w:lang w:eastAsia="zh-CN"/>
              </w:rPr>
            </w:pPr>
            <w:r w:rsidRPr="007C25EB">
              <w:rPr>
                <w:rFonts w:ascii="Arial" w:eastAsia="SimSun" w:hAnsi="Arial" w:cs="Arial"/>
                <w:b/>
                <w:color w:val="FFFFFF" w:themeColor="background1"/>
                <w:kern w:val="20"/>
                <w:sz w:val="19"/>
                <w:szCs w:val="19"/>
                <w:lang w:eastAsia="zh-CN"/>
              </w:rPr>
              <w:t>RMB</w:t>
            </w:r>
            <w:r>
              <w:rPr>
                <w:rFonts w:ascii="Arial" w:eastAsia="SimSun" w:hAnsi="Arial" w:cs="Arial"/>
                <w:b/>
                <w:color w:val="FFFFFF" w:themeColor="background1"/>
                <w:kern w:val="20"/>
                <w:sz w:val="19"/>
                <w:szCs w:val="19"/>
                <w:lang w:eastAsia="zh-CN"/>
              </w:rPr>
              <w:t xml:space="preserve">2.0 </w:t>
            </w:r>
            <w:r w:rsidRPr="007C25EB">
              <w:rPr>
                <w:rFonts w:ascii="Arial" w:eastAsia="SimSun" w:hAnsi="Arial" w:cs="Arial"/>
                <w:b/>
                <w:color w:val="FFFFFF" w:themeColor="background1"/>
                <w:kern w:val="20"/>
                <w:sz w:val="19"/>
                <w:szCs w:val="19"/>
                <w:lang w:eastAsia="zh-CN"/>
              </w:rPr>
              <w:t xml:space="preserve">billion </w:t>
            </w:r>
            <w:r>
              <w:rPr>
                <w:rFonts w:ascii="Arial" w:eastAsia="SimSun" w:hAnsi="Arial" w:cs="Arial"/>
                <w:b/>
                <w:color w:val="FFFFFF" w:themeColor="background1"/>
                <w:kern w:val="20"/>
                <w:sz w:val="19"/>
                <w:szCs w:val="19"/>
                <w:lang w:eastAsia="zh-CN"/>
              </w:rPr>
              <w:t xml:space="preserve">2.50 per cent. </w:t>
            </w:r>
            <w:r w:rsidRPr="007C25EB">
              <w:rPr>
                <w:rFonts w:ascii="Arial" w:eastAsia="SimSun" w:hAnsi="Arial" w:cs="Arial"/>
                <w:b/>
                <w:color w:val="FFFFFF" w:themeColor="background1"/>
                <w:kern w:val="20"/>
                <w:sz w:val="19"/>
                <w:szCs w:val="19"/>
                <w:lang w:eastAsia="zh-CN"/>
              </w:rPr>
              <w:t xml:space="preserve"> Bonds due </w:t>
            </w:r>
            <w:r>
              <w:rPr>
                <w:rFonts w:ascii="Arial" w:eastAsia="SimSun" w:hAnsi="Arial" w:cs="Arial"/>
                <w:b/>
                <w:color w:val="FFFFFF" w:themeColor="background1"/>
                <w:kern w:val="20"/>
                <w:sz w:val="19"/>
                <w:szCs w:val="19"/>
                <w:lang w:eastAsia="zh-CN"/>
              </w:rPr>
              <w:t>2026</w:t>
            </w:r>
            <w:r w:rsidRPr="007C25EB">
              <w:rPr>
                <w:rFonts w:ascii="Arial" w:eastAsia="SimSun" w:hAnsi="Arial" w:cs="Arial"/>
                <w:b/>
                <w:color w:val="FFFFFF" w:themeColor="background1"/>
                <w:kern w:val="20"/>
                <w:sz w:val="19"/>
                <w:szCs w:val="19"/>
                <w:lang w:eastAsia="zh-CN"/>
              </w:rPr>
              <w:t xml:space="preserve"> (to be consolidated and form a single series with the RMB</w:t>
            </w:r>
            <w:r>
              <w:rPr>
                <w:rFonts w:ascii="Arial" w:eastAsia="SimSun" w:hAnsi="Arial" w:cs="Arial"/>
                <w:b/>
                <w:color w:val="FFFFFF" w:themeColor="background1"/>
                <w:kern w:val="20"/>
                <w:sz w:val="19"/>
                <w:szCs w:val="19"/>
                <w:lang w:eastAsia="zh-CN"/>
              </w:rPr>
              <w:t>2.0 billion</w:t>
            </w:r>
            <w:r w:rsidRPr="007C25EB">
              <w:rPr>
                <w:rFonts w:ascii="Arial" w:eastAsia="SimSun" w:hAnsi="Arial" w:cs="Arial"/>
                <w:b/>
                <w:color w:val="FFFFFF" w:themeColor="background1"/>
                <w:kern w:val="20"/>
                <w:sz w:val="19"/>
                <w:szCs w:val="19"/>
                <w:lang w:eastAsia="zh-CN"/>
              </w:rPr>
              <w:t xml:space="preserve"> </w:t>
            </w:r>
            <w:r>
              <w:rPr>
                <w:rFonts w:ascii="Arial" w:eastAsia="SimSun" w:hAnsi="Arial" w:cs="Arial"/>
                <w:b/>
                <w:color w:val="FFFFFF" w:themeColor="background1"/>
                <w:kern w:val="20"/>
                <w:sz w:val="19"/>
                <w:szCs w:val="19"/>
                <w:lang w:eastAsia="zh-CN"/>
              </w:rPr>
              <w:t xml:space="preserve">2.50 per cent.  </w:t>
            </w:r>
            <w:r w:rsidRPr="007C25EB">
              <w:rPr>
                <w:rFonts w:ascii="Arial" w:eastAsia="SimSun" w:hAnsi="Arial" w:cs="Arial"/>
                <w:b/>
                <w:color w:val="FFFFFF" w:themeColor="background1"/>
                <w:kern w:val="20"/>
                <w:sz w:val="19"/>
                <w:szCs w:val="19"/>
                <w:lang w:eastAsia="zh-CN"/>
              </w:rPr>
              <w:t xml:space="preserve">Bonds due </w:t>
            </w:r>
            <w:r>
              <w:rPr>
                <w:rFonts w:ascii="Arial" w:eastAsia="SimSun" w:hAnsi="Arial" w:cs="Arial"/>
                <w:b/>
                <w:color w:val="FFFFFF" w:themeColor="background1"/>
                <w:kern w:val="20"/>
                <w:sz w:val="19"/>
                <w:szCs w:val="19"/>
                <w:lang w:eastAsia="zh-CN"/>
              </w:rPr>
              <w:t>2026</w:t>
            </w:r>
            <w:r w:rsidRPr="007C25EB">
              <w:rPr>
                <w:rFonts w:ascii="Arial" w:eastAsia="SimSun" w:hAnsi="Arial" w:cs="Arial"/>
                <w:b/>
                <w:color w:val="FFFFFF" w:themeColor="background1"/>
                <w:kern w:val="20"/>
                <w:sz w:val="19"/>
                <w:szCs w:val="19"/>
                <w:lang w:eastAsia="zh-CN"/>
              </w:rPr>
              <w:t>)</w:t>
            </w:r>
          </w:p>
          <w:p w14:paraId="58C62C7C" w14:textId="25A83509" w:rsidR="00912728" w:rsidRPr="007C25EB" w:rsidRDefault="00912728" w:rsidP="007C25EB">
            <w:pPr>
              <w:widowControl/>
              <w:spacing w:line="240" w:lineRule="auto"/>
              <w:rPr>
                <w:rFonts w:ascii="Arial" w:eastAsia="SimSun" w:hAnsi="Arial" w:cs="Arial"/>
                <w:b/>
                <w:color w:val="FFFFFF" w:themeColor="background1"/>
                <w:kern w:val="20"/>
                <w:sz w:val="19"/>
                <w:szCs w:val="19"/>
                <w:lang w:eastAsia="zh-CN"/>
              </w:rPr>
            </w:pPr>
            <w:r w:rsidRPr="007C25EB">
              <w:rPr>
                <w:rFonts w:ascii="Arial" w:eastAsia="SimSun" w:hAnsi="Arial" w:cs="Arial"/>
                <w:b/>
                <w:color w:val="FFFFFF" w:themeColor="background1"/>
                <w:kern w:val="20"/>
                <w:sz w:val="19"/>
                <w:szCs w:val="19"/>
                <w:lang w:eastAsia="zh-CN"/>
              </w:rPr>
              <w:t xml:space="preserve">(CMU Instrument No: </w:t>
            </w:r>
            <w:r>
              <w:rPr>
                <w:rFonts w:ascii="Arial" w:eastAsia="SimSun" w:hAnsi="Arial" w:cs="Arial"/>
                <w:b/>
                <w:color w:val="FFFFFF" w:themeColor="background1"/>
                <w:kern w:val="20"/>
                <w:sz w:val="19"/>
                <w:szCs w:val="19"/>
                <w:lang w:eastAsia="zh-CN"/>
              </w:rPr>
              <w:t>BCMKFB21003</w:t>
            </w:r>
            <w:r w:rsidRPr="007C25EB">
              <w:rPr>
                <w:rFonts w:ascii="Arial" w:eastAsia="SimSun" w:hAnsi="Arial" w:cs="Arial"/>
                <w:b/>
                <w:color w:val="FFFFFF" w:themeColor="background1"/>
                <w:kern w:val="20"/>
                <w:sz w:val="19"/>
                <w:szCs w:val="19"/>
                <w:lang w:eastAsia="zh-CN"/>
              </w:rPr>
              <w:t>)</w:t>
            </w:r>
          </w:p>
          <w:p w14:paraId="45A577A0" w14:textId="77777777" w:rsidR="00912728" w:rsidRPr="007C25EB" w:rsidRDefault="00912728" w:rsidP="00457508">
            <w:pPr>
              <w:pStyle w:val="Body"/>
              <w:spacing w:beforeLines="20" w:before="48" w:afterLines="20" w:after="48" w:line="240" w:lineRule="auto"/>
              <w:jc w:val="center"/>
              <w:rPr>
                <w:rFonts w:eastAsia="SimSun" w:cs="Arial"/>
                <w:b/>
                <w:color w:val="FFFFFF" w:themeColor="background1"/>
                <w:sz w:val="19"/>
                <w:szCs w:val="19"/>
                <w:lang w:eastAsia="zh-CN"/>
              </w:rPr>
            </w:pPr>
          </w:p>
        </w:tc>
        <w:tc>
          <w:tcPr>
            <w:tcW w:w="2896" w:type="dxa"/>
            <w:shd w:val="clear" w:color="auto" w:fill="808080"/>
          </w:tcPr>
          <w:p w14:paraId="120525E8" w14:textId="77777777" w:rsidR="00E049EC" w:rsidRPr="00E049EC" w:rsidRDefault="00E049EC" w:rsidP="00E049EC">
            <w:pPr>
              <w:widowControl/>
              <w:spacing w:line="240" w:lineRule="auto"/>
              <w:rPr>
                <w:rFonts w:ascii="Arial" w:eastAsia="SimSun" w:hAnsi="Arial" w:cs="Arial"/>
                <w:b/>
                <w:color w:val="FFFFFF" w:themeColor="background1"/>
                <w:kern w:val="20"/>
                <w:sz w:val="19"/>
                <w:szCs w:val="19"/>
                <w:lang w:eastAsia="zh-CN"/>
              </w:rPr>
            </w:pPr>
            <w:r w:rsidRPr="00E049EC">
              <w:rPr>
                <w:rFonts w:ascii="Arial" w:eastAsia="SimSun" w:hAnsi="Arial" w:cs="Arial"/>
                <w:b/>
                <w:color w:val="FFFFFF" w:themeColor="background1"/>
                <w:kern w:val="20"/>
                <w:sz w:val="19"/>
                <w:szCs w:val="19"/>
                <w:lang w:eastAsia="zh-CN"/>
              </w:rPr>
              <w:t>RMB1.0 billion 4.15 per cent. Bonds due 2031 (to be consolidated and form a single series with the RMB1.5 billion 4.15 per cent. Bonds due 2031) (CMU Instrument No: BCMKFB16023)</w:t>
            </w:r>
          </w:p>
          <w:p w14:paraId="6960B8F3" w14:textId="77777777" w:rsidR="00912728" w:rsidRPr="007C25EB" w:rsidRDefault="00912728" w:rsidP="00457508">
            <w:pPr>
              <w:pStyle w:val="Body"/>
              <w:spacing w:beforeLines="20" w:before="48" w:afterLines="20" w:after="48" w:line="240" w:lineRule="auto"/>
              <w:jc w:val="center"/>
              <w:rPr>
                <w:rFonts w:eastAsia="SimSun" w:cs="Arial"/>
                <w:b/>
                <w:color w:val="FFFFFF" w:themeColor="background1"/>
                <w:sz w:val="19"/>
                <w:szCs w:val="19"/>
                <w:lang w:eastAsia="zh-CN"/>
              </w:rPr>
            </w:pPr>
          </w:p>
        </w:tc>
      </w:tr>
      <w:tr w:rsidR="007E3C4E" w:rsidRPr="00200547" w14:paraId="0713CBA0" w14:textId="77777777" w:rsidTr="00E049EC">
        <w:tc>
          <w:tcPr>
            <w:tcW w:w="1663" w:type="dxa"/>
            <w:shd w:val="clear" w:color="auto" w:fill="F3F3F3"/>
          </w:tcPr>
          <w:p w14:paraId="0DBE6185"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Currency</w:t>
            </w:r>
          </w:p>
        </w:tc>
        <w:tc>
          <w:tcPr>
            <w:tcW w:w="9022" w:type="dxa"/>
            <w:gridSpan w:val="4"/>
            <w:shd w:val="clear" w:color="auto" w:fill="F3F3F3"/>
          </w:tcPr>
          <w:p w14:paraId="5BAFEC94"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Renminbi.</w:t>
            </w:r>
          </w:p>
        </w:tc>
      </w:tr>
      <w:tr w:rsidR="00F36033" w:rsidRPr="00200547" w14:paraId="4807AB53" w14:textId="77777777" w:rsidTr="00E049EC">
        <w:tc>
          <w:tcPr>
            <w:tcW w:w="1663" w:type="dxa"/>
            <w:shd w:val="clear" w:color="auto" w:fill="D9D9D9"/>
          </w:tcPr>
          <w:p w14:paraId="1D777525" w14:textId="77777777" w:rsidR="00F36033" w:rsidRPr="00200547" w:rsidRDefault="00F36033" w:rsidP="007F3685">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Status</w:t>
            </w:r>
          </w:p>
        </w:tc>
        <w:tc>
          <w:tcPr>
            <w:tcW w:w="9022" w:type="dxa"/>
            <w:gridSpan w:val="4"/>
            <w:shd w:val="clear" w:color="auto" w:fill="D9D9D9"/>
          </w:tcPr>
          <w:p w14:paraId="0AD5D2E1" w14:textId="253CC74E" w:rsidR="00F36033" w:rsidRPr="00200547" w:rsidRDefault="00F36033" w:rsidP="007F3685">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Upon issuance, the Additional </w:t>
            </w:r>
            <w:r w:rsidR="00C36BBC">
              <w:rPr>
                <w:rFonts w:cs="Arial"/>
                <w:sz w:val="19"/>
                <w:szCs w:val="19"/>
                <w:lang w:eastAsia="zh-CN"/>
              </w:rPr>
              <w:t>2023</w:t>
            </w:r>
            <w:r w:rsidR="00094DB8" w:rsidRPr="00200547">
              <w:rPr>
                <w:rFonts w:cs="Arial"/>
                <w:sz w:val="19"/>
                <w:szCs w:val="19"/>
                <w:lang w:eastAsia="zh-CN"/>
              </w:rPr>
              <w:t xml:space="preserve"> </w:t>
            </w:r>
            <w:r w:rsidRPr="00200547">
              <w:rPr>
                <w:rFonts w:cs="Arial"/>
                <w:sz w:val="19"/>
                <w:szCs w:val="19"/>
                <w:lang w:eastAsia="zh-CN"/>
              </w:rPr>
              <w:t>Bonds</w:t>
            </w:r>
            <w:r w:rsidR="006D26D3">
              <w:rPr>
                <w:rFonts w:cs="Arial"/>
                <w:sz w:val="19"/>
                <w:szCs w:val="19"/>
                <w:lang w:eastAsia="zh-CN"/>
              </w:rPr>
              <w:t xml:space="preserve">, </w:t>
            </w:r>
            <w:r w:rsidRPr="00200547">
              <w:rPr>
                <w:rFonts w:cs="Arial"/>
                <w:sz w:val="19"/>
                <w:szCs w:val="19"/>
                <w:lang w:eastAsia="zh-CN"/>
              </w:rPr>
              <w:t xml:space="preserve">the Additional </w:t>
            </w:r>
            <w:r w:rsidR="006D26D3">
              <w:rPr>
                <w:rFonts w:cs="Arial"/>
                <w:sz w:val="19"/>
                <w:szCs w:val="19"/>
                <w:lang w:eastAsia="zh-CN"/>
              </w:rPr>
              <w:t>2026</w:t>
            </w:r>
            <w:r w:rsidR="00094DB8" w:rsidRPr="00200547">
              <w:rPr>
                <w:rFonts w:cs="Arial"/>
                <w:sz w:val="19"/>
                <w:szCs w:val="19"/>
                <w:lang w:eastAsia="zh-CN"/>
              </w:rPr>
              <w:t xml:space="preserve"> </w:t>
            </w:r>
            <w:r w:rsidRPr="00200547">
              <w:rPr>
                <w:rFonts w:cs="Arial"/>
                <w:sz w:val="19"/>
                <w:szCs w:val="19"/>
                <w:lang w:eastAsia="zh-CN"/>
              </w:rPr>
              <w:t xml:space="preserve">Bonds </w:t>
            </w:r>
            <w:r w:rsidR="006D26D3">
              <w:rPr>
                <w:rFonts w:cs="Arial"/>
                <w:sz w:val="19"/>
                <w:szCs w:val="19"/>
                <w:lang w:eastAsia="zh-CN"/>
              </w:rPr>
              <w:t xml:space="preserve">and the Additional 2031 Bonds </w:t>
            </w:r>
            <w:r w:rsidRPr="00200547">
              <w:rPr>
                <w:rFonts w:cs="Arial"/>
                <w:sz w:val="19"/>
                <w:szCs w:val="19"/>
                <w:lang w:eastAsia="zh-CN"/>
              </w:rPr>
              <w:t xml:space="preserve">will be consolidated and form a single </w:t>
            </w:r>
            <w:r w:rsidR="007F3685">
              <w:rPr>
                <w:rFonts w:cs="Arial"/>
                <w:sz w:val="19"/>
                <w:szCs w:val="19"/>
                <w:lang w:eastAsia="zh-CN"/>
              </w:rPr>
              <w:t>series</w:t>
            </w:r>
            <w:r w:rsidR="007F3685" w:rsidRPr="00200547">
              <w:rPr>
                <w:rFonts w:cs="Arial"/>
                <w:sz w:val="19"/>
                <w:szCs w:val="19"/>
                <w:lang w:eastAsia="zh-CN"/>
              </w:rPr>
              <w:t xml:space="preserve"> </w:t>
            </w:r>
            <w:r w:rsidRPr="00200547">
              <w:rPr>
                <w:rFonts w:cs="Arial"/>
                <w:sz w:val="19"/>
                <w:szCs w:val="19"/>
                <w:lang w:eastAsia="zh-CN"/>
              </w:rPr>
              <w:t xml:space="preserve">with the Original </w:t>
            </w:r>
            <w:r w:rsidR="00C36BBC">
              <w:rPr>
                <w:rFonts w:cs="Arial"/>
                <w:sz w:val="19"/>
                <w:szCs w:val="19"/>
                <w:lang w:eastAsia="zh-CN"/>
              </w:rPr>
              <w:t>2023</w:t>
            </w:r>
            <w:r w:rsidR="00094DB8" w:rsidRPr="00200547">
              <w:rPr>
                <w:rFonts w:cs="Arial"/>
                <w:sz w:val="19"/>
                <w:szCs w:val="19"/>
                <w:lang w:eastAsia="zh-CN"/>
              </w:rPr>
              <w:t xml:space="preserve"> </w:t>
            </w:r>
            <w:r w:rsidRPr="00200547">
              <w:rPr>
                <w:rFonts w:cs="Arial"/>
                <w:sz w:val="19"/>
                <w:szCs w:val="19"/>
                <w:lang w:eastAsia="zh-CN"/>
              </w:rPr>
              <w:t>Bonds</w:t>
            </w:r>
            <w:r w:rsidR="006D26D3">
              <w:rPr>
                <w:rFonts w:cs="Arial"/>
                <w:sz w:val="19"/>
                <w:szCs w:val="19"/>
                <w:lang w:eastAsia="zh-CN"/>
              </w:rPr>
              <w:t xml:space="preserve">, </w:t>
            </w:r>
            <w:r w:rsidRPr="00200547">
              <w:rPr>
                <w:rFonts w:cs="Arial"/>
                <w:sz w:val="19"/>
                <w:szCs w:val="19"/>
                <w:lang w:eastAsia="zh-CN"/>
              </w:rPr>
              <w:t xml:space="preserve">the Original </w:t>
            </w:r>
            <w:r w:rsidR="006D26D3">
              <w:rPr>
                <w:rFonts w:cs="Arial"/>
                <w:sz w:val="19"/>
                <w:szCs w:val="19"/>
                <w:lang w:eastAsia="zh-CN"/>
              </w:rPr>
              <w:t>2026</w:t>
            </w:r>
            <w:r w:rsidR="00094DB8" w:rsidRPr="00200547">
              <w:rPr>
                <w:rFonts w:cs="Arial"/>
                <w:sz w:val="19"/>
                <w:szCs w:val="19"/>
                <w:lang w:eastAsia="zh-CN"/>
              </w:rPr>
              <w:t xml:space="preserve"> </w:t>
            </w:r>
            <w:r w:rsidRPr="00200547">
              <w:rPr>
                <w:rFonts w:cs="Arial"/>
                <w:sz w:val="19"/>
                <w:szCs w:val="19"/>
                <w:lang w:eastAsia="zh-CN"/>
              </w:rPr>
              <w:t>Bonds</w:t>
            </w:r>
            <w:r w:rsidR="006D26D3">
              <w:rPr>
                <w:rFonts w:cs="Arial"/>
                <w:sz w:val="19"/>
                <w:szCs w:val="19"/>
                <w:lang w:eastAsia="zh-CN"/>
              </w:rPr>
              <w:t xml:space="preserve"> and the Original 2031 Bonds</w:t>
            </w:r>
            <w:r w:rsidRPr="00200547">
              <w:rPr>
                <w:rFonts w:cs="Arial"/>
                <w:sz w:val="19"/>
                <w:szCs w:val="19"/>
                <w:lang w:eastAsia="zh-CN"/>
              </w:rPr>
              <w:t>, respectively. The Bonds will constitute direct, unsecured and unsubordinated obligations of the Central People's Government. The Central People’s Government will pledge its full faith and credit for the due and punctual payment of all principal of and interest of the Bonds and for the due and timely performance of all its obligations with respect to the Bonds.</w:t>
            </w:r>
          </w:p>
        </w:tc>
      </w:tr>
      <w:tr w:rsidR="007E3C4E" w:rsidRPr="00200547" w14:paraId="07F954E5" w14:textId="77777777" w:rsidTr="00E049EC">
        <w:tc>
          <w:tcPr>
            <w:tcW w:w="1663" w:type="dxa"/>
            <w:shd w:val="clear" w:color="auto" w:fill="F2F2F2" w:themeFill="background1" w:themeFillShade="F2"/>
          </w:tcPr>
          <w:p w14:paraId="694461B9"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Method of Offering</w:t>
            </w:r>
          </w:p>
        </w:tc>
        <w:tc>
          <w:tcPr>
            <w:tcW w:w="9022" w:type="dxa"/>
            <w:gridSpan w:val="4"/>
            <w:shd w:val="clear" w:color="auto" w:fill="F2F2F2" w:themeFill="background1" w:themeFillShade="F2"/>
          </w:tcPr>
          <w:p w14:paraId="7F65D67D"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Competitive </w:t>
            </w:r>
            <w:r w:rsidR="00593EF4" w:rsidRPr="00200547">
              <w:rPr>
                <w:rFonts w:cs="Arial"/>
                <w:sz w:val="19"/>
                <w:szCs w:val="19"/>
                <w:lang w:eastAsia="zh-CN"/>
              </w:rPr>
              <w:t>price-based</w:t>
            </w:r>
            <w:r w:rsidRPr="00200547">
              <w:rPr>
                <w:rFonts w:cs="Arial"/>
                <w:sz w:val="19"/>
                <w:szCs w:val="19"/>
                <w:lang w:eastAsia="zh-CN"/>
              </w:rPr>
              <w:t xml:space="preserve"> bidding in respect of each series of Bonds. </w:t>
            </w:r>
          </w:p>
          <w:p w14:paraId="00E262EA" w14:textId="77777777" w:rsidR="00505294" w:rsidRPr="00200547" w:rsidRDefault="00593EF4" w:rsidP="00593EF4">
            <w:pPr>
              <w:pStyle w:val="Body"/>
              <w:spacing w:beforeLines="20" w:before="48" w:afterLines="20" w:after="48" w:line="240" w:lineRule="auto"/>
              <w:rPr>
                <w:rFonts w:cs="Arial"/>
                <w:sz w:val="19"/>
                <w:szCs w:val="19"/>
                <w:lang w:eastAsia="zh-CN"/>
              </w:rPr>
            </w:pPr>
            <w:r w:rsidRPr="00200547">
              <w:rPr>
                <w:rFonts w:cs="Arial"/>
                <w:sz w:val="19"/>
                <w:szCs w:val="19"/>
                <w:lang w:eastAsia="zh-CN"/>
              </w:rPr>
              <w:t>Each tender bid must be for an integral multiple of the denomination of the Bonds specified below. Each bid for a series of Bonds must indicate the quantity of the relevant series applied for and the bid price, expressed as a percentage and rounded to two decimal places. Successful bidders of each series will be allotted Bonds at the uniform issue price i.e. the lowest accepted price of the successful competitive tender bids for the relevant series, plus accrued interest specified below.</w:t>
            </w:r>
          </w:p>
        </w:tc>
      </w:tr>
      <w:tr w:rsidR="007E3C4E" w:rsidRPr="00200547" w14:paraId="5BA21638" w14:textId="77777777" w:rsidTr="00E049EC">
        <w:tc>
          <w:tcPr>
            <w:tcW w:w="1663" w:type="dxa"/>
            <w:shd w:val="clear" w:color="auto" w:fill="D9D9D9"/>
          </w:tcPr>
          <w:p w14:paraId="033A9D47"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Denomination</w:t>
            </w:r>
          </w:p>
        </w:tc>
        <w:tc>
          <w:tcPr>
            <w:tcW w:w="9022" w:type="dxa"/>
            <w:gridSpan w:val="4"/>
            <w:shd w:val="clear" w:color="auto" w:fill="D9D9D9"/>
          </w:tcPr>
          <w:p w14:paraId="7AB061BA" w14:textId="77777777" w:rsidR="00505294" w:rsidRPr="00200547" w:rsidRDefault="00505294" w:rsidP="00856779">
            <w:pPr>
              <w:pStyle w:val="Body"/>
              <w:spacing w:beforeLines="20" w:before="48" w:afterLines="20" w:after="48" w:line="240" w:lineRule="auto"/>
              <w:rPr>
                <w:rFonts w:eastAsia="SimSun" w:cs="Arial"/>
                <w:sz w:val="19"/>
                <w:szCs w:val="19"/>
                <w:lang w:eastAsia="zh-CN"/>
              </w:rPr>
            </w:pPr>
            <w:r w:rsidRPr="00200547">
              <w:rPr>
                <w:rFonts w:cs="Arial"/>
                <w:sz w:val="19"/>
                <w:szCs w:val="19"/>
                <w:lang w:eastAsia="zh-CN"/>
              </w:rPr>
              <w:t>RMB500,000.</w:t>
            </w:r>
          </w:p>
        </w:tc>
      </w:tr>
      <w:tr w:rsidR="007E3C4E" w:rsidRPr="00200547" w14:paraId="4949ACFF" w14:textId="77777777" w:rsidTr="00E049EC">
        <w:tc>
          <w:tcPr>
            <w:tcW w:w="1663" w:type="dxa"/>
            <w:shd w:val="clear" w:color="auto" w:fill="F3F3F3"/>
          </w:tcPr>
          <w:p w14:paraId="743B3C08"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Form</w:t>
            </w:r>
          </w:p>
        </w:tc>
        <w:tc>
          <w:tcPr>
            <w:tcW w:w="9022" w:type="dxa"/>
            <w:gridSpan w:val="4"/>
            <w:shd w:val="clear" w:color="auto" w:fill="F3F3F3"/>
          </w:tcPr>
          <w:p w14:paraId="1F7AE902"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Each series of Bonds </w:t>
            </w:r>
            <w:r w:rsidR="001905A1">
              <w:rPr>
                <w:rFonts w:cs="Arial"/>
                <w:sz w:val="19"/>
                <w:szCs w:val="19"/>
                <w:lang w:eastAsia="zh-CN"/>
              </w:rPr>
              <w:t>are</w:t>
            </w:r>
            <w:r w:rsidR="001751D7" w:rsidRPr="00200547">
              <w:rPr>
                <w:rFonts w:cs="Arial"/>
                <w:sz w:val="19"/>
                <w:szCs w:val="19"/>
                <w:lang w:eastAsia="zh-CN"/>
              </w:rPr>
              <w:t xml:space="preserve"> </w:t>
            </w:r>
            <w:r w:rsidRPr="00200547">
              <w:rPr>
                <w:rFonts w:cs="Arial"/>
                <w:sz w:val="19"/>
                <w:szCs w:val="19"/>
                <w:lang w:eastAsia="zh-CN"/>
              </w:rPr>
              <w:t>represented by a global bond deposited with a sub-custodian nominated by CMU operated by the Hong Kong Monetary Authority (the “</w:t>
            </w:r>
            <w:r w:rsidRPr="00200547">
              <w:rPr>
                <w:rFonts w:cs="Arial"/>
                <w:b/>
                <w:sz w:val="19"/>
                <w:szCs w:val="19"/>
                <w:lang w:eastAsia="zh-CN"/>
              </w:rPr>
              <w:t>HKMA</w:t>
            </w:r>
            <w:r w:rsidRPr="00200547">
              <w:rPr>
                <w:rFonts w:cs="Arial"/>
                <w:sz w:val="19"/>
                <w:szCs w:val="19"/>
                <w:lang w:eastAsia="zh-CN"/>
              </w:rPr>
              <w:t xml:space="preserve">”). </w:t>
            </w:r>
          </w:p>
        </w:tc>
      </w:tr>
      <w:tr w:rsidR="007E3C4E" w:rsidRPr="00200547" w14:paraId="68C39886" w14:textId="77777777" w:rsidTr="00E049EC">
        <w:tc>
          <w:tcPr>
            <w:tcW w:w="1663" w:type="dxa"/>
            <w:shd w:val="clear" w:color="auto" w:fill="D9D9D9"/>
          </w:tcPr>
          <w:p w14:paraId="2A7E801D"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Interest Rates</w:t>
            </w:r>
            <w:r w:rsidR="00593EF4" w:rsidRPr="00200547">
              <w:rPr>
                <w:rFonts w:cs="Arial"/>
                <w:b/>
                <w:sz w:val="19"/>
                <w:szCs w:val="19"/>
                <w:lang w:eastAsia="zh-CN"/>
              </w:rPr>
              <w:t xml:space="preserve"> and Accrued Interest</w:t>
            </w:r>
          </w:p>
        </w:tc>
        <w:tc>
          <w:tcPr>
            <w:tcW w:w="9022" w:type="dxa"/>
            <w:gridSpan w:val="4"/>
            <w:shd w:val="clear" w:color="auto" w:fill="D9D9D9"/>
          </w:tcPr>
          <w:p w14:paraId="5205AB55" w14:textId="082A66C4" w:rsidR="00593EF4" w:rsidRPr="00200547" w:rsidRDefault="00593EF4" w:rsidP="00593EF4">
            <w:pPr>
              <w:widowControl/>
              <w:spacing w:line="240" w:lineRule="auto"/>
              <w:jc w:val="left"/>
              <w:rPr>
                <w:rFonts w:ascii="Arial" w:hAnsi="Arial" w:cs="Arial"/>
                <w:color w:val="000000" w:themeColor="text1"/>
                <w:sz w:val="19"/>
                <w:szCs w:val="19"/>
                <w:lang w:val="en-GB" w:eastAsia="zh-CN"/>
              </w:rPr>
            </w:pPr>
            <w:r w:rsidRPr="00200547">
              <w:rPr>
                <w:rFonts w:ascii="Arial" w:hAnsi="Arial" w:cs="Arial"/>
                <w:color w:val="000000" w:themeColor="text1"/>
                <w:sz w:val="19"/>
                <w:szCs w:val="19"/>
                <w:lang w:val="en-GB" w:eastAsia="zh-CN"/>
              </w:rPr>
              <w:t xml:space="preserve">The </w:t>
            </w:r>
            <w:r w:rsidR="00C36BBC">
              <w:rPr>
                <w:rFonts w:ascii="Arial" w:hAnsi="Arial" w:cs="Arial"/>
                <w:color w:val="000000" w:themeColor="text1"/>
                <w:sz w:val="19"/>
                <w:szCs w:val="19"/>
                <w:lang w:val="en-GB" w:eastAsia="zh-CN"/>
              </w:rPr>
              <w:t>2023</w:t>
            </w:r>
            <w:r w:rsidR="00094DB8" w:rsidRPr="00200547">
              <w:rPr>
                <w:rFonts w:ascii="Arial" w:hAnsi="Arial" w:cs="Arial"/>
                <w:color w:val="000000" w:themeColor="text1"/>
                <w:sz w:val="19"/>
                <w:szCs w:val="19"/>
                <w:lang w:val="en-GB" w:eastAsia="zh-CN"/>
              </w:rPr>
              <w:t xml:space="preserve"> </w:t>
            </w:r>
            <w:r w:rsidRPr="00200547">
              <w:rPr>
                <w:rFonts w:ascii="Arial" w:hAnsi="Arial" w:cs="Arial"/>
                <w:color w:val="000000" w:themeColor="text1"/>
                <w:sz w:val="19"/>
                <w:szCs w:val="19"/>
                <w:lang w:val="en-GB" w:eastAsia="zh-CN"/>
              </w:rPr>
              <w:t xml:space="preserve">Bonds bear interest at </w:t>
            </w:r>
            <w:r w:rsidR="00C36BBC">
              <w:rPr>
                <w:rFonts w:ascii="Arial" w:hAnsi="Arial" w:cs="Arial"/>
                <w:color w:val="000000" w:themeColor="text1"/>
                <w:sz w:val="19"/>
                <w:szCs w:val="19"/>
                <w:lang w:val="en-GB" w:eastAsia="zh-CN"/>
              </w:rPr>
              <w:t xml:space="preserve">2.41 per cent. </w:t>
            </w:r>
            <w:r w:rsidRPr="00200547">
              <w:rPr>
                <w:rFonts w:ascii="Arial" w:hAnsi="Arial" w:cs="Arial"/>
                <w:color w:val="000000" w:themeColor="text1"/>
                <w:sz w:val="19"/>
                <w:szCs w:val="19"/>
                <w:lang w:val="en-GB" w:eastAsia="zh-CN"/>
              </w:rPr>
              <w:t xml:space="preserve"> per annum and the accrued interest on</w:t>
            </w:r>
            <w:r w:rsidR="00D716B7">
              <w:rPr>
                <w:rFonts w:ascii="Arial" w:hAnsi="Arial" w:cs="Arial"/>
                <w:color w:val="000000" w:themeColor="text1"/>
                <w:sz w:val="19"/>
                <w:szCs w:val="19"/>
                <w:lang w:val="en-GB" w:eastAsia="zh-CN"/>
              </w:rPr>
              <w:t xml:space="preserve"> </w:t>
            </w:r>
            <w:r w:rsidRPr="00200547">
              <w:rPr>
                <w:rFonts w:ascii="Arial" w:hAnsi="Arial" w:cs="Arial"/>
                <w:color w:val="000000" w:themeColor="text1"/>
                <w:sz w:val="19"/>
                <w:szCs w:val="19"/>
                <w:lang w:val="en-GB" w:eastAsia="zh-CN"/>
              </w:rPr>
              <w:t>each</w:t>
            </w:r>
            <w:r w:rsidR="00E30FEE">
              <w:rPr>
                <w:rFonts w:ascii="Arial" w:hAnsi="Arial" w:cs="Arial"/>
                <w:color w:val="000000" w:themeColor="text1"/>
                <w:sz w:val="19"/>
                <w:szCs w:val="19"/>
                <w:lang w:val="en-GB" w:eastAsia="zh-CN"/>
              </w:rPr>
              <w:t xml:space="preserve"> 2023</w:t>
            </w:r>
            <w:r w:rsidRPr="00200547">
              <w:rPr>
                <w:rFonts w:ascii="Arial" w:hAnsi="Arial" w:cs="Arial"/>
                <w:color w:val="000000" w:themeColor="text1"/>
                <w:sz w:val="19"/>
                <w:szCs w:val="19"/>
                <w:lang w:val="en-GB" w:eastAsia="zh-CN"/>
              </w:rPr>
              <w:t xml:space="preserve"> Bond</w:t>
            </w:r>
            <w:r w:rsidR="00E30FEE">
              <w:rPr>
                <w:rFonts w:ascii="Arial" w:hAnsi="Arial" w:cs="Arial"/>
                <w:color w:val="000000" w:themeColor="text1"/>
                <w:sz w:val="19"/>
                <w:szCs w:val="19"/>
                <w:lang w:val="en-GB" w:eastAsia="zh-CN"/>
              </w:rPr>
              <w:t xml:space="preserve"> from and including 27 September 2021</w:t>
            </w:r>
            <w:r w:rsidRPr="00200547">
              <w:rPr>
                <w:rFonts w:ascii="Arial" w:hAnsi="Arial" w:cs="Arial"/>
                <w:color w:val="000000" w:themeColor="text1"/>
                <w:sz w:val="19"/>
                <w:szCs w:val="19"/>
                <w:lang w:val="en-GB" w:eastAsia="zh-CN"/>
              </w:rPr>
              <w:t xml:space="preserve"> up to but excluding the Further Issue Date is </w:t>
            </w:r>
            <w:r w:rsidR="008D5768" w:rsidRPr="0012688C">
              <w:rPr>
                <w:rFonts w:ascii="Arial" w:hAnsi="Arial" w:cs="Arial"/>
                <w:color w:val="000000" w:themeColor="text1"/>
                <w:sz w:val="19"/>
                <w:szCs w:val="19"/>
                <w:lang w:val="en-GB" w:eastAsia="zh-CN"/>
              </w:rPr>
              <w:t>RMB</w:t>
            </w:r>
            <w:r w:rsidR="00D84F76" w:rsidRPr="00D84F76">
              <w:rPr>
                <w:rFonts w:ascii="Arial" w:hAnsi="Arial" w:cs="Arial"/>
                <w:color w:val="000000" w:themeColor="text1"/>
                <w:sz w:val="19"/>
                <w:szCs w:val="19"/>
                <w:lang w:val="en-GB" w:eastAsia="zh-CN"/>
              </w:rPr>
              <w:t>1,749.73</w:t>
            </w:r>
            <w:r w:rsidR="0045313F" w:rsidRPr="0012688C">
              <w:rPr>
                <w:rFonts w:ascii="Arial" w:hAnsi="Arial" w:cs="Arial"/>
                <w:color w:val="000000" w:themeColor="text1"/>
                <w:sz w:val="19"/>
                <w:szCs w:val="19"/>
                <w:lang w:val="en-GB" w:eastAsia="zh-CN"/>
              </w:rPr>
              <w:t>.</w:t>
            </w:r>
          </w:p>
          <w:p w14:paraId="7DE77789" w14:textId="54D1AD2D" w:rsidR="00593EF4" w:rsidRDefault="00593EF4" w:rsidP="00D716B7">
            <w:pPr>
              <w:widowControl/>
              <w:spacing w:line="240" w:lineRule="auto"/>
              <w:jc w:val="left"/>
              <w:rPr>
                <w:rFonts w:ascii="Arial" w:hAnsi="Arial" w:cs="Arial"/>
                <w:color w:val="000000" w:themeColor="text1"/>
                <w:sz w:val="19"/>
                <w:szCs w:val="19"/>
                <w:lang w:val="en-GB" w:eastAsia="zh-CN"/>
              </w:rPr>
            </w:pPr>
            <w:r w:rsidRPr="00200547">
              <w:rPr>
                <w:rFonts w:ascii="Arial" w:hAnsi="Arial" w:cs="Arial"/>
                <w:color w:val="000000" w:themeColor="text1"/>
                <w:sz w:val="19"/>
                <w:szCs w:val="19"/>
                <w:lang w:val="en-GB" w:eastAsia="zh-CN"/>
              </w:rPr>
              <w:t xml:space="preserve">The </w:t>
            </w:r>
            <w:r w:rsidR="006D26D3">
              <w:rPr>
                <w:rFonts w:ascii="Arial" w:hAnsi="Arial" w:cs="Arial"/>
                <w:color w:val="000000" w:themeColor="text1"/>
                <w:sz w:val="19"/>
                <w:szCs w:val="19"/>
                <w:lang w:val="en-GB" w:eastAsia="zh-CN"/>
              </w:rPr>
              <w:t>2026</w:t>
            </w:r>
            <w:r w:rsidR="006D26D3" w:rsidRPr="00200547">
              <w:rPr>
                <w:rFonts w:ascii="Arial" w:hAnsi="Arial" w:cs="Arial"/>
                <w:color w:val="000000" w:themeColor="text1"/>
                <w:sz w:val="19"/>
                <w:szCs w:val="19"/>
                <w:lang w:val="en-GB" w:eastAsia="zh-CN"/>
              </w:rPr>
              <w:t xml:space="preserve"> </w:t>
            </w:r>
            <w:r w:rsidRPr="00200547">
              <w:rPr>
                <w:rFonts w:ascii="Arial" w:hAnsi="Arial" w:cs="Arial"/>
                <w:color w:val="000000" w:themeColor="text1"/>
                <w:sz w:val="19"/>
                <w:szCs w:val="19"/>
                <w:lang w:val="en-GB" w:eastAsia="zh-CN"/>
              </w:rPr>
              <w:t xml:space="preserve">Bonds bear interest at </w:t>
            </w:r>
            <w:r w:rsidR="006D26D3">
              <w:rPr>
                <w:rFonts w:ascii="Arial" w:hAnsi="Arial" w:cs="Arial"/>
                <w:color w:val="000000" w:themeColor="text1"/>
                <w:sz w:val="19"/>
                <w:szCs w:val="19"/>
                <w:lang w:val="en-GB" w:eastAsia="zh-CN"/>
              </w:rPr>
              <w:t>2.50</w:t>
            </w:r>
            <w:r w:rsidR="00C36BBC">
              <w:rPr>
                <w:rFonts w:ascii="Arial" w:hAnsi="Arial" w:cs="Arial"/>
                <w:color w:val="000000" w:themeColor="text1"/>
                <w:sz w:val="19"/>
                <w:szCs w:val="19"/>
                <w:lang w:val="en-GB" w:eastAsia="zh-CN"/>
              </w:rPr>
              <w:t xml:space="preserve"> per cent. </w:t>
            </w:r>
            <w:r w:rsidRPr="00200547">
              <w:rPr>
                <w:rFonts w:ascii="Arial" w:hAnsi="Arial" w:cs="Arial"/>
                <w:color w:val="000000" w:themeColor="text1"/>
                <w:sz w:val="19"/>
                <w:szCs w:val="19"/>
                <w:lang w:val="en-GB" w:eastAsia="zh-CN"/>
              </w:rPr>
              <w:t xml:space="preserve"> per annum and the accrued interest on each</w:t>
            </w:r>
            <w:r w:rsidR="00E30FEE">
              <w:rPr>
                <w:rFonts w:ascii="Arial" w:hAnsi="Arial" w:cs="Arial"/>
                <w:color w:val="000000" w:themeColor="text1"/>
                <w:sz w:val="19"/>
                <w:szCs w:val="19"/>
                <w:lang w:val="en-GB" w:eastAsia="zh-CN"/>
              </w:rPr>
              <w:t xml:space="preserve"> 2026</w:t>
            </w:r>
            <w:r w:rsidR="00D716B7">
              <w:rPr>
                <w:rFonts w:ascii="Arial" w:hAnsi="Arial" w:cs="Arial"/>
                <w:color w:val="000000" w:themeColor="text1"/>
                <w:sz w:val="19"/>
                <w:szCs w:val="19"/>
                <w:lang w:val="en-GB" w:eastAsia="zh-CN"/>
              </w:rPr>
              <w:t xml:space="preserve"> </w:t>
            </w:r>
            <w:r w:rsidRPr="00D716B7">
              <w:rPr>
                <w:rFonts w:ascii="Arial" w:hAnsi="Arial" w:cs="Arial"/>
                <w:color w:val="000000" w:themeColor="text1"/>
                <w:sz w:val="19"/>
                <w:szCs w:val="19"/>
                <w:lang w:val="en-GB" w:eastAsia="zh-CN"/>
              </w:rPr>
              <w:t xml:space="preserve">Bond </w:t>
            </w:r>
            <w:r w:rsidR="00E30FEE">
              <w:rPr>
                <w:rFonts w:ascii="Arial" w:hAnsi="Arial" w:cs="Arial"/>
                <w:color w:val="000000" w:themeColor="text1"/>
                <w:sz w:val="19"/>
                <w:szCs w:val="19"/>
                <w:lang w:val="en-GB" w:eastAsia="zh-CN"/>
              </w:rPr>
              <w:t xml:space="preserve"> from and including 27 September 2021 </w:t>
            </w:r>
            <w:r w:rsidRPr="00D716B7">
              <w:rPr>
                <w:rFonts w:ascii="Arial" w:hAnsi="Arial" w:cs="Arial"/>
                <w:color w:val="000000" w:themeColor="text1"/>
                <w:sz w:val="19"/>
                <w:szCs w:val="19"/>
                <w:lang w:val="en-GB" w:eastAsia="zh-CN"/>
              </w:rPr>
              <w:t xml:space="preserve">up to but excluding the Further Issue Date is </w:t>
            </w:r>
            <w:r w:rsidR="008D5768" w:rsidRPr="0012688C">
              <w:rPr>
                <w:rFonts w:ascii="Arial" w:hAnsi="Arial" w:cs="Arial"/>
                <w:color w:val="000000" w:themeColor="text1"/>
                <w:sz w:val="19"/>
                <w:szCs w:val="19"/>
                <w:lang w:val="en-GB" w:eastAsia="zh-CN"/>
              </w:rPr>
              <w:t>RMB</w:t>
            </w:r>
            <w:r w:rsidR="00D84F76" w:rsidRPr="00D84F76">
              <w:rPr>
                <w:rFonts w:ascii="Arial" w:hAnsi="Arial" w:cs="Arial"/>
                <w:color w:val="000000" w:themeColor="text1"/>
                <w:sz w:val="19"/>
                <w:szCs w:val="19"/>
                <w:lang w:val="en-GB" w:eastAsia="zh-CN"/>
              </w:rPr>
              <w:t>1</w:t>
            </w:r>
            <w:r w:rsidR="00C1274A">
              <w:rPr>
                <w:rFonts w:ascii="Arial" w:hAnsi="Arial" w:cs="Arial"/>
                <w:color w:val="000000" w:themeColor="text1"/>
                <w:sz w:val="19"/>
                <w:szCs w:val="19"/>
                <w:lang w:val="en-GB" w:eastAsia="zh-CN"/>
              </w:rPr>
              <w:t>,</w:t>
            </w:r>
            <w:r w:rsidR="00D84F76" w:rsidRPr="00D84F76">
              <w:rPr>
                <w:rFonts w:ascii="Arial" w:hAnsi="Arial" w:cs="Arial"/>
                <w:color w:val="000000" w:themeColor="text1"/>
                <w:sz w:val="19"/>
                <w:szCs w:val="19"/>
                <w:lang w:val="en-GB" w:eastAsia="zh-CN"/>
              </w:rPr>
              <w:t>815.07</w:t>
            </w:r>
            <w:r w:rsidRPr="0012688C">
              <w:rPr>
                <w:rFonts w:ascii="Arial" w:hAnsi="Arial" w:cs="Arial"/>
                <w:color w:val="000000" w:themeColor="text1"/>
                <w:sz w:val="19"/>
                <w:szCs w:val="19"/>
                <w:lang w:val="en-GB" w:eastAsia="zh-CN"/>
              </w:rPr>
              <w:t>.</w:t>
            </w:r>
          </w:p>
          <w:p w14:paraId="3E8AAAB4" w14:textId="2F21CEB6" w:rsidR="006D26D3" w:rsidRPr="00200547" w:rsidRDefault="006D26D3" w:rsidP="00D716B7">
            <w:pPr>
              <w:widowControl/>
              <w:spacing w:line="240" w:lineRule="auto"/>
              <w:jc w:val="left"/>
              <w:rPr>
                <w:rFonts w:cs="Arial"/>
                <w:color w:val="000000" w:themeColor="text1"/>
                <w:sz w:val="19"/>
                <w:szCs w:val="19"/>
                <w:lang w:eastAsia="zh-CN"/>
              </w:rPr>
            </w:pPr>
            <w:r>
              <w:rPr>
                <w:rFonts w:ascii="Arial" w:hAnsi="Arial" w:cs="Arial"/>
                <w:color w:val="000000" w:themeColor="text1"/>
                <w:sz w:val="19"/>
                <w:szCs w:val="19"/>
                <w:lang w:val="en-GB" w:eastAsia="zh-CN"/>
              </w:rPr>
              <w:t>The 2031 Bonds bear interest at 4.15 per cent. per annum and the accrued interest on each</w:t>
            </w:r>
            <w:r w:rsidR="00E30FEE">
              <w:rPr>
                <w:rFonts w:ascii="Arial" w:hAnsi="Arial" w:cs="Arial"/>
                <w:color w:val="000000" w:themeColor="text1"/>
                <w:sz w:val="19"/>
                <w:szCs w:val="19"/>
                <w:lang w:val="en-GB" w:eastAsia="zh-CN"/>
              </w:rPr>
              <w:t xml:space="preserve"> 2031</w:t>
            </w:r>
            <w:r>
              <w:rPr>
                <w:rFonts w:ascii="Arial" w:hAnsi="Arial" w:cs="Arial"/>
                <w:color w:val="000000" w:themeColor="text1"/>
                <w:sz w:val="19"/>
                <w:szCs w:val="19"/>
                <w:lang w:val="en-GB" w:eastAsia="zh-CN"/>
              </w:rPr>
              <w:t xml:space="preserve"> Bond</w:t>
            </w:r>
            <w:r w:rsidR="00E30FEE">
              <w:rPr>
                <w:rFonts w:ascii="Arial" w:hAnsi="Arial" w:cs="Arial"/>
                <w:color w:val="000000" w:themeColor="text1"/>
                <w:sz w:val="19"/>
                <w:szCs w:val="19"/>
                <w:lang w:val="en-GB" w:eastAsia="zh-CN"/>
              </w:rPr>
              <w:t xml:space="preserve"> from and including 15 June 2021</w:t>
            </w:r>
            <w:r>
              <w:rPr>
                <w:rFonts w:ascii="Arial" w:hAnsi="Arial" w:cs="Arial"/>
                <w:color w:val="000000" w:themeColor="text1"/>
                <w:sz w:val="19"/>
                <w:szCs w:val="19"/>
                <w:lang w:val="en-GB" w:eastAsia="zh-CN"/>
              </w:rPr>
              <w:t xml:space="preserve"> up to but excluding the Further Issue Date is </w:t>
            </w:r>
            <w:r w:rsidRPr="00DF555F">
              <w:rPr>
                <w:rFonts w:ascii="Arial" w:hAnsi="Arial" w:cs="Arial"/>
                <w:color w:val="000000" w:themeColor="text1"/>
                <w:sz w:val="19"/>
                <w:szCs w:val="19"/>
                <w:lang w:val="en-GB" w:eastAsia="zh-CN"/>
              </w:rPr>
              <w:t>RMB</w:t>
            </w:r>
            <w:r w:rsidR="00D84F76" w:rsidRPr="00D84F76">
              <w:rPr>
                <w:rFonts w:ascii="Arial" w:hAnsi="Arial" w:cs="Arial"/>
                <w:color w:val="000000" w:themeColor="text1"/>
                <w:sz w:val="19"/>
                <w:szCs w:val="19"/>
                <w:lang w:val="en-GB" w:eastAsia="zh-CN"/>
              </w:rPr>
              <w:t>8</w:t>
            </w:r>
            <w:r w:rsidR="00C1274A">
              <w:rPr>
                <w:rFonts w:ascii="Arial" w:hAnsi="Arial" w:cs="Arial"/>
                <w:color w:val="000000" w:themeColor="text1"/>
                <w:sz w:val="19"/>
                <w:szCs w:val="19"/>
                <w:lang w:val="en-GB" w:eastAsia="zh-CN"/>
              </w:rPr>
              <w:t>,</w:t>
            </w:r>
            <w:r w:rsidR="00D84F76" w:rsidRPr="00D84F76">
              <w:rPr>
                <w:rFonts w:ascii="Arial" w:hAnsi="Arial" w:cs="Arial"/>
                <w:color w:val="000000" w:themeColor="text1"/>
                <w:sz w:val="19"/>
                <w:szCs w:val="19"/>
                <w:lang w:val="en-GB" w:eastAsia="zh-CN"/>
              </w:rPr>
              <w:t>925.34</w:t>
            </w:r>
            <w:r w:rsidRPr="00DF555F">
              <w:rPr>
                <w:rFonts w:ascii="Arial" w:hAnsi="Arial" w:cs="Arial"/>
                <w:color w:val="000000" w:themeColor="text1"/>
                <w:sz w:val="19"/>
                <w:szCs w:val="19"/>
                <w:lang w:val="en-GB" w:eastAsia="zh-CN"/>
              </w:rPr>
              <w:t>.</w:t>
            </w:r>
            <w:r>
              <w:rPr>
                <w:rFonts w:ascii="Arial" w:hAnsi="Arial" w:cs="Arial"/>
                <w:color w:val="000000" w:themeColor="text1"/>
                <w:sz w:val="19"/>
                <w:szCs w:val="19"/>
                <w:lang w:val="en-GB" w:eastAsia="zh-CN"/>
              </w:rPr>
              <w:t xml:space="preserve"> </w:t>
            </w:r>
          </w:p>
        </w:tc>
      </w:tr>
      <w:tr w:rsidR="007E3C4E" w:rsidRPr="00200547" w14:paraId="035406AE" w14:textId="77777777" w:rsidTr="00E049EC">
        <w:tc>
          <w:tcPr>
            <w:tcW w:w="1663" w:type="dxa"/>
            <w:shd w:val="clear" w:color="auto" w:fill="F3F3F3"/>
          </w:tcPr>
          <w:p w14:paraId="32BF446B" w14:textId="77777777" w:rsidR="00505294" w:rsidRPr="00200547" w:rsidRDefault="00505294" w:rsidP="00505294">
            <w:pPr>
              <w:pStyle w:val="Body"/>
              <w:spacing w:beforeLines="20" w:before="48" w:afterLines="20" w:after="48" w:line="240" w:lineRule="auto"/>
              <w:jc w:val="left"/>
              <w:rPr>
                <w:rFonts w:eastAsia="SimSun" w:cs="Arial"/>
                <w:b/>
                <w:sz w:val="19"/>
                <w:szCs w:val="19"/>
                <w:lang w:eastAsia="zh-CN"/>
              </w:rPr>
            </w:pPr>
            <w:r w:rsidRPr="00200547">
              <w:rPr>
                <w:rFonts w:cs="Arial"/>
                <w:b/>
                <w:sz w:val="19"/>
                <w:szCs w:val="19"/>
                <w:lang w:eastAsia="zh-CN"/>
              </w:rPr>
              <w:t>Interest Payment Date</w:t>
            </w:r>
          </w:p>
        </w:tc>
        <w:tc>
          <w:tcPr>
            <w:tcW w:w="9022" w:type="dxa"/>
            <w:gridSpan w:val="4"/>
            <w:shd w:val="clear" w:color="auto" w:fill="F3F3F3"/>
          </w:tcPr>
          <w:p w14:paraId="7FC66663" w14:textId="53999DB0" w:rsidR="00505294" w:rsidRDefault="004034EA" w:rsidP="00C073F9">
            <w:pPr>
              <w:pStyle w:val="Body"/>
              <w:spacing w:beforeLines="20" w:before="48" w:afterLines="20" w:after="48" w:line="240" w:lineRule="auto"/>
              <w:rPr>
                <w:rFonts w:cs="Arial"/>
                <w:color w:val="000000" w:themeColor="text1"/>
                <w:sz w:val="19"/>
                <w:szCs w:val="19"/>
                <w:lang w:eastAsia="zh-CN"/>
              </w:rPr>
            </w:pPr>
            <w:r>
              <w:rPr>
                <w:rFonts w:eastAsia="SimHei" w:cs="Arial"/>
                <w:color w:val="000000" w:themeColor="text1"/>
                <w:sz w:val="19"/>
                <w:szCs w:val="19"/>
                <w:lang w:eastAsia="zh-TW"/>
              </w:rPr>
              <w:t>In respect of the 2023 Bonds</w:t>
            </w:r>
            <w:r w:rsidR="00406CCB">
              <w:rPr>
                <w:rFonts w:eastAsia="SimHei" w:cs="Arial"/>
                <w:color w:val="000000" w:themeColor="text1"/>
                <w:sz w:val="19"/>
                <w:szCs w:val="19"/>
                <w:lang w:eastAsia="zh-TW"/>
              </w:rPr>
              <w:t xml:space="preserve"> and the 2026 Bonds</w:t>
            </w:r>
            <w:r>
              <w:rPr>
                <w:rFonts w:eastAsia="SimHei" w:cs="Arial"/>
                <w:color w:val="000000" w:themeColor="text1"/>
                <w:sz w:val="19"/>
                <w:szCs w:val="19"/>
                <w:lang w:eastAsia="zh-TW"/>
              </w:rPr>
              <w:t xml:space="preserve">: 27 March and 27 September </w:t>
            </w:r>
            <w:r w:rsidR="00505294" w:rsidRPr="00200547">
              <w:rPr>
                <w:rFonts w:cs="Arial"/>
                <w:color w:val="000000" w:themeColor="text1"/>
                <w:sz w:val="19"/>
                <w:szCs w:val="19"/>
                <w:lang w:eastAsia="zh-CN"/>
              </w:rPr>
              <w:t xml:space="preserve">in each year, with interest accruing from the </w:t>
            </w:r>
            <w:r w:rsidR="008710B6" w:rsidRPr="00200547">
              <w:rPr>
                <w:rFonts w:cs="Arial"/>
                <w:color w:val="000000" w:themeColor="text1"/>
                <w:sz w:val="19"/>
                <w:szCs w:val="19"/>
                <w:lang w:eastAsia="zh-CN"/>
              </w:rPr>
              <w:t xml:space="preserve">Original </w:t>
            </w:r>
            <w:r w:rsidR="00505294" w:rsidRPr="00200547">
              <w:rPr>
                <w:rFonts w:cs="Arial"/>
                <w:color w:val="000000" w:themeColor="text1"/>
                <w:sz w:val="19"/>
                <w:szCs w:val="19"/>
                <w:lang w:eastAsia="zh-CN"/>
              </w:rPr>
              <w:t>Issue Date</w:t>
            </w:r>
            <w:r w:rsidR="00406CCB">
              <w:rPr>
                <w:rFonts w:cs="Arial"/>
                <w:color w:val="000000" w:themeColor="text1"/>
                <w:sz w:val="19"/>
                <w:szCs w:val="19"/>
                <w:lang w:eastAsia="zh-CN"/>
              </w:rPr>
              <w:t xml:space="preserve"> in respect of the 2023 Bonds and the 2026 Bonds</w:t>
            </w:r>
            <w:r w:rsidR="00505294" w:rsidRPr="00200547">
              <w:rPr>
                <w:rFonts w:cs="Arial"/>
                <w:color w:val="000000" w:themeColor="text1"/>
                <w:sz w:val="19"/>
                <w:szCs w:val="19"/>
                <w:lang w:eastAsia="zh-CN"/>
              </w:rPr>
              <w:t xml:space="preserve"> until the </w:t>
            </w:r>
            <w:r w:rsidR="008710B6" w:rsidRPr="00200547">
              <w:rPr>
                <w:rFonts w:cs="Arial"/>
                <w:color w:val="000000" w:themeColor="text1"/>
                <w:sz w:val="19"/>
                <w:szCs w:val="19"/>
                <w:lang w:eastAsia="zh-CN"/>
              </w:rPr>
              <w:t xml:space="preserve">respective </w:t>
            </w:r>
            <w:r w:rsidR="00505294" w:rsidRPr="00200547">
              <w:rPr>
                <w:rFonts w:cs="Arial"/>
                <w:color w:val="000000" w:themeColor="text1"/>
                <w:sz w:val="19"/>
                <w:szCs w:val="19"/>
                <w:lang w:eastAsia="zh-CN"/>
              </w:rPr>
              <w:t>maturity date</w:t>
            </w:r>
            <w:r w:rsidR="008710B6" w:rsidRPr="00200547">
              <w:rPr>
                <w:rFonts w:cs="Arial"/>
                <w:color w:val="000000" w:themeColor="text1"/>
                <w:sz w:val="19"/>
                <w:szCs w:val="19"/>
                <w:lang w:eastAsia="zh-CN"/>
              </w:rPr>
              <w:t>s</w:t>
            </w:r>
            <w:r w:rsidR="00505294" w:rsidRPr="00200547">
              <w:rPr>
                <w:rFonts w:cs="Arial"/>
                <w:color w:val="000000" w:themeColor="text1"/>
                <w:sz w:val="19"/>
                <w:szCs w:val="19"/>
                <w:lang w:eastAsia="zh-CN"/>
              </w:rPr>
              <w:t xml:space="preserve"> of the Bonds, subject to the modified following business day convention. </w:t>
            </w:r>
          </w:p>
          <w:p w14:paraId="6EB07A62" w14:textId="6CBC4651" w:rsidR="00406CCB" w:rsidRPr="00200547" w:rsidRDefault="00406CCB" w:rsidP="00C073F9">
            <w:pPr>
              <w:pStyle w:val="Body"/>
              <w:spacing w:beforeLines="20" w:before="48" w:afterLines="20" w:after="48" w:line="240" w:lineRule="auto"/>
              <w:rPr>
                <w:rFonts w:cs="Arial"/>
                <w:color w:val="000000" w:themeColor="text1"/>
                <w:sz w:val="19"/>
                <w:szCs w:val="19"/>
                <w:lang w:eastAsia="zh-CN"/>
              </w:rPr>
            </w:pPr>
            <w:r>
              <w:rPr>
                <w:rFonts w:cs="Arial"/>
                <w:color w:val="000000" w:themeColor="text1"/>
                <w:sz w:val="19"/>
                <w:szCs w:val="19"/>
                <w:lang w:eastAsia="zh-CN"/>
              </w:rPr>
              <w:t xml:space="preserve">In respect of the 2031 Bonds: 12 June and 12 December in each year, with interest accruing from the Original Issue Date in respect of the 2031 Bonds until the maturity date of the 2031 Bonds, subject to the modified following business day convention. </w:t>
            </w:r>
          </w:p>
        </w:tc>
      </w:tr>
      <w:tr w:rsidR="007E3C4E" w:rsidRPr="00200547" w14:paraId="0364A8CF" w14:textId="77777777" w:rsidTr="00E049EC">
        <w:tc>
          <w:tcPr>
            <w:tcW w:w="1663" w:type="dxa"/>
            <w:shd w:val="clear" w:color="auto" w:fill="D9D9D9"/>
          </w:tcPr>
          <w:p w14:paraId="4990E51A"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Interest Period</w:t>
            </w:r>
          </w:p>
        </w:tc>
        <w:tc>
          <w:tcPr>
            <w:tcW w:w="9022" w:type="dxa"/>
            <w:gridSpan w:val="4"/>
            <w:shd w:val="clear" w:color="auto" w:fill="D9D9D9"/>
          </w:tcPr>
          <w:p w14:paraId="56B1F083" w14:textId="10995828"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The first interest period shall be the period from and including the </w:t>
            </w:r>
            <w:r w:rsidR="00C36BBC">
              <w:rPr>
                <w:rFonts w:cs="Arial"/>
                <w:sz w:val="19"/>
                <w:szCs w:val="19"/>
                <w:lang w:eastAsia="zh-CN"/>
              </w:rPr>
              <w:t xml:space="preserve">relevant </w:t>
            </w:r>
            <w:r w:rsidR="008710B6" w:rsidRPr="00200547">
              <w:rPr>
                <w:rFonts w:cs="Arial"/>
                <w:sz w:val="19"/>
                <w:szCs w:val="19"/>
                <w:lang w:eastAsia="zh-CN"/>
              </w:rPr>
              <w:t xml:space="preserve">Original </w:t>
            </w:r>
            <w:r w:rsidRPr="00200547">
              <w:rPr>
                <w:rFonts w:cs="Arial"/>
                <w:sz w:val="19"/>
                <w:szCs w:val="19"/>
                <w:lang w:eastAsia="zh-CN"/>
              </w:rPr>
              <w:t xml:space="preserve">Issue Date to but excluding the </w:t>
            </w:r>
            <w:r w:rsidR="00C36BBC">
              <w:rPr>
                <w:rFonts w:cs="Arial"/>
                <w:sz w:val="19"/>
                <w:szCs w:val="19"/>
                <w:lang w:eastAsia="zh-CN"/>
              </w:rPr>
              <w:t xml:space="preserve">relevant </w:t>
            </w:r>
            <w:r w:rsidRPr="00200547">
              <w:rPr>
                <w:rFonts w:cs="Arial"/>
                <w:sz w:val="19"/>
                <w:szCs w:val="19"/>
                <w:lang w:eastAsia="zh-CN"/>
              </w:rPr>
              <w:t>first interest payment date. Thereafter interest periods will run from and including each interest payment date to but excluding the next interest payment date.</w:t>
            </w:r>
          </w:p>
        </w:tc>
      </w:tr>
      <w:tr w:rsidR="007E3C4E" w:rsidRPr="00200547" w14:paraId="0D4D8DA8" w14:textId="77777777" w:rsidTr="00E049EC">
        <w:tc>
          <w:tcPr>
            <w:tcW w:w="1663" w:type="dxa"/>
            <w:shd w:val="clear" w:color="auto" w:fill="F3F3F3"/>
          </w:tcPr>
          <w:p w14:paraId="47ACD129"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Tender Date</w:t>
            </w:r>
          </w:p>
        </w:tc>
        <w:tc>
          <w:tcPr>
            <w:tcW w:w="9022" w:type="dxa"/>
            <w:gridSpan w:val="4"/>
            <w:shd w:val="clear" w:color="auto" w:fill="F3F3F3"/>
          </w:tcPr>
          <w:p w14:paraId="4BE0E211" w14:textId="7C5127D9" w:rsidR="00505294" w:rsidRPr="00200547" w:rsidRDefault="00597F72" w:rsidP="00C073F9">
            <w:pPr>
              <w:pStyle w:val="Body"/>
              <w:spacing w:beforeLines="20" w:before="48" w:afterLines="20" w:after="48" w:line="240" w:lineRule="auto"/>
              <w:rPr>
                <w:rFonts w:cs="Arial"/>
                <w:sz w:val="19"/>
                <w:szCs w:val="19"/>
                <w:lang w:eastAsia="zh-CN"/>
              </w:rPr>
            </w:pPr>
            <w:r>
              <w:rPr>
                <w:rFonts w:eastAsia="SimHei" w:cs="Arial"/>
                <w:sz w:val="19"/>
                <w:szCs w:val="19"/>
                <w:lang w:eastAsia="zh-TW"/>
              </w:rPr>
              <w:t xml:space="preserve">17 </w:t>
            </w:r>
            <w:r w:rsidR="001C2015">
              <w:rPr>
                <w:rFonts w:eastAsia="SimHei" w:cs="Arial"/>
                <w:sz w:val="19"/>
                <w:szCs w:val="19"/>
                <w:lang w:eastAsia="zh-TW"/>
              </w:rPr>
              <w:t>November</w:t>
            </w:r>
            <w:r>
              <w:rPr>
                <w:rFonts w:eastAsia="SimHei" w:cs="Arial"/>
                <w:sz w:val="19"/>
                <w:szCs w:val="19"/>
                <w:lang w:eastAsia="zh-TW"/>
              </w:rPr>
              <w:t xml:space="preserve"> 2021</w:t>
            </w:r>
            <w:r w:rsidR="00505294" w:rsidRPr="00200547">
              <w:rPr>
                <w:rFonts w:cs="Arial"/>
                <w:sz w:val="19"/>
                <w:szCs w:val="19"/>
                <w:lang w:eastAsia="zh-CN"/>
              </w:rPr>
              <w:t>.</w:t>
            </w:r>
          </w:p>
        </w:tc>
      </w:tr>
      <w:tr w:rsidR="007E3C4E" w:rsidRPr="00200547" w14:paraId="43F76B11" w14:textId="77777777" w:rsidTr="00E049EC">
        <w:tc>
          <w:tcPr>
            <w:tcW w:w="1663" w:type="dxa"/>
            <w:shd w:val="clear" w:color="auto" w:fill="D9D9D9"/>
          </w:tcPr>
          <w:p w14:paraId="73401396"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 xml:space="preserve">Tender Arrangements </w:t>
            </w:r>
          </w:p>
        </w:tc>
        <w:tc>
          <w:tcPr>
            <w:tcW w:w="9022" w:type="dxa"/>
            <w:gridSpan w:val="4"/>
            <w:shd w:val="clear" w:color="auto" w:fill="D9D9D9"/>
          </w:tcPr>
          <w:p w14:paraId="7C3C4C1D"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Tenders must be submitted through the CMU BID operated by the HKMA from 9:30 a.m. to 10:30 a.m. Hong Kong time on the Tender Date in accordance with the operating procedures of the CMU BID. </w:t>
            </w:r>
          </w:p>
          <w:p w14:paraId="3040E0A8"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rPr>
              <w:t xml:space="preserve">The Ministry of Finance reserves the right to close the tender early, or allow more time, without prior notice. </w:t>
            </w:r>
            <w:r w:rsidRPr="00200547">
              <w:rPr>
                <w:rFonts w:cs="Arial"/>
                <w:sz w:val="19"/>
                <w:szCs w:val="19"/>
                <w:lang w:eastAsia="zh-CN"/>
              </w:rPr>
              <w:t xml:space="preserve">The </w:t>
            </w:r>
            <w:r w:rsidRPr="00200547">
              <w:rPr>
                <w:rFonts w:cs="Arial"/>
                <w:sz w:val="19"/>
                <w:szCs w:val="19"/>
              </w:rPr>
              <w:t>Ministry of Finance</w:t>
            </w:r>
            <w:r w:rsidRPr="00200547">
              <w:rPr>
                <w:rFonts w:cs="Arial"/>
                <w:sz w:val="19"/>
                <w:szCs w:val="19"/>
                <w:lang w:eastAsia="zh-CN"/>
              </w:rPr>
              <w:t xml:space="preserve"> reserves the right to cancel the tender at any time on or before the Tender Date. Tender results will be announced not later than 5:00 p.m. Hong Kong time on the Tender Date.</w:t>
            </w:r>
          </w:p>
        </w:tc>
      </w:tr>
      <w:tr w:rsidR="007E3C4E" w:rsidRPr="00200547" w14:paraId="68DF014F" w14:textId="77777777" w:rsidTr="00E049EC">
        <w:tc>
          <w:tcPr>
            <w:tcW w:w="1663" w:type="dxa"/>
            <w:shd w:val="clear" w:color="auto" w:fill="F3F3F3"/>
          </w:tcPr>
          <w:p w14:paraId="05D34372"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Qualification of Bidder</w:t>
            </w:r>
          </w:p>
        </w:tc>
        <w:tc>
          <w:tcPr>
            <w:tcW w:w="9022" w:type="dxa"/>
            <w:gridSpan w:val="4"/>
            <w:shd w:val="clear" w:color="auto" w:fill="F3F3F3"/>
          </w:tcPr>
          <w:p w14:paraId="14CF1ED8"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Qualified Bidders (see below the definition) only. </w:t>
            </w:r>
          </w:p>
        </w:tc>
      </w:tr>
      <w:tr w:rsidR="007E3C4E" w:rsidRPr="00200547" w14:paraId="64F64CAC" w14:textId="77777777" w:rsidTr="00E049EC">
        <w:tc>
          <w:tcPr>
            <w:tcW w:w="1663" w:type="dxa"/>
            <w:shd w:val="clear" w:color="auto" w:fill="D9D9D9"/>
          </w:tcPr>
          <w:p w14:paraId="4E42206B"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Settlement</w:t>
            </w:r>
          </w:p>
        </w:tc>
        <w:tc>
          <w:tcPr>
            <w:tcW w:w="9022" w:type="dxa"/>
            <w:gridSpan w:val="4"/>
            <w:shd w:val="clear" w:color="auto" w:fill="D9D9D9"/>
          </w:tcPr>
          <w:p w14:paraId="59E29837" w14:textId="77777777" w:rsidR="00505294" w:rsidRPr="00200547" w:rsidRDefault="00505294" w:rsidP="00C073F9">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Settlement will be effected on the second </w:t>
            </w:r>
            <w:r w:rsidR="008710B6" w:rsidRPr="00200547">
              <w:rPr>
                <w:rFonts w:cs="Arial"/>
                <w:sz w:val="19"/>
                <w:szCs w:val="19"/>
                <w:lang w:eastAsia="zh-CN"/>
              </w:rPr>
              <w:t xml:space="preserve">Settlement </w:t>
            </w:r>
            <w:r w:rsidRPr="00200547">
              <w:rPr>
                <w:rFonts w:cs="Arial"/>
                <w:sz w:val="19"/>
                <w:szCs w:val="19"/>
                <w:lang w:eastAsia="zh-CN"/>
              </w:rPr>
              <w:t xml:space="preserve">Business </w:t>
            </w:r>
            <w:r w:rsidR="008710B6" w:rsidRPr="00200547">
              <w:rPr>
                <w:rFonts w:cs="Arial"/>
                <w:sz w:val="19"/>
                <w:szCs w:val="19"/>
                <w:lang w:eastAsia="zh-CN"/>
              </w:rPr>
              <w:t xml:space="preserve">Day </w:t>
            </w:r>
            <w:r w:rsidRPr="00200547">
              <w:rPr>
                <w:rFonts w:cs="Arial"/>
                <w:sz w:val="19"/>
                <w:szCs w:val="19"/>
                <w:lang w:eastAsia="zh-CN"/>
              </w:rPr>
              <w:t>following the Tender Date.</w:t>
            </w:r>
          </w:p>
        </w:tc>
      </w:tr>
      <w:tr w:rsidR="007E3C4E" w:rsidRPr="00200547" w14:paraId="54E9B22F" w14:textId="77777777" w:rsidTr="00E049EC">
        <w:tc>
          <w:tcPr>
            <w:tcW w:w="1663" w:type="dxa"/>
            <w:shd w:val="clear" w:color="auto" w:fill="F2F2F2"/>
          </w:tcPr>
          <w:p w14:paraId="57E84264"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Repayment</w:t>
            </w:r>
          </w:p>
        </w:tc>
        <w:tc>
          <w:tcPr>
            <w:tcW w:w="9022" w:type="dxa"/>
            <w:gridSpan w:val="4"/>
            <w:shd w:val="clear" w:color="auto" w:fill="F2F2F2"/>
          </w:tcPr>
          <w:p w14:paraId="0447E35A" w14:textId="77777777" w:rsidR="00505294" w:rsidRPr="00200547" w:rsidRDefault="00505294" w:rsidP="00505294">
            <w:pPr>
              <w:pStyle w:val="Body"/>
              <w:spacing w:beforeLines="20" w:before="48" w:afterLines="20" w:after="48" w:line="240" w:lineRule="auto"/>
              <w:jc w:val="left"/>
              <w:rPr>
                <w:rFonts w:cs="Arial"/>
                <w:bCs/>
                <w:sz w:val="19"/>
                <w:szCs w:val="19"/>
                <w:lang w:eastAsia="zh-CN"/>
              </w:rPr>
            </w:pPr>
            <w:r w:rsidRPr="00200547">
              <w:rPr>
                <w:rFonts w:cs="Arial"/>
                <w:bCs/>
                <w:sz w:val="19"/>
                <w:szCs w:val="19"/>
                <w:lang w:eastAsia="zh-CN"/>
              </w:rPr>
              <w:t xml:space="preserve">The Bonds will be redeemed at par on their respective maturity dates. </w:t>
            </w:r>
          </w:p>
        </w:tc>
      </w:tr>
      <w:tr w:rsidR="007E3C4E" w:rsidRPr="00200547" w14:paraId="476DED44" w14:textId="77777777" w:rsidTr="00E049EC">
        <w:tc>
          <w:tcPr>
            <w:tcW w:w="1663" w:type="dxa"/>
            <w:shd w:val="clear" w:color="auto" w:fill="D9D9D9"/>
          </w:tcPr>
          <w:p w14:paraId="2465A1A6"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Listing</w:t>
            </w:r>
          </w:p>
        </w:tc>
        <w:tc>
          <w:tcPr>
            <w:tcW w:w="9022" w:type="dxa"/>
            <w:gridSpan w:val="4"/>
            <w:shd w:val="clear" w:color="auto" w:fill="D9D9D9"/>
          </w:tcPr>
          <w:p w14:paraId="69F71859" w14:textId="77777777" w:rsidR="00505294" w:rsidRPr="00200547" w:rsidRDefault="00505294" w:rsidP="00505294">
            <w:pPr>
              <w:pStyle w:val="Body"/>
              <w:spacing w:beforeLines="20" w:before="48" w:afterLines="20" w:after="48" w:line="240" w:lineRule="auto"/>
              <w:rPr>
                <w:rFonts w:cs="Arial"/>
                <w:bCs/>
                <w:sz w:val="19"/>
                <w:szCs w:val="19"/>
                <w:lang w:eastAsia="zh-CN"/>
              </w:rPr>
            </w:pPr>
            <w:r w:rsidRPr="00200547">
              <w:rPr>
                <w:rFonts w:cs="Arial"/>
                <w:bCs/>
                <w:sz w:val="19"/>
                <w:szCs w:val="19"/>
                <w:lang w:eastAsia="zh-CN"/>
              </w:rPr>
              <w:t xml:space="preserve">The </w:t>
            </w:r>
            <w:r w:rsidR="00213FAC">
              <w:rPr>
                <w:rFonts w:cs="Arial"/>
                <w:bCs/>
                <w:sz w:val="19"/>
                <w:szCs w:val="19"/>
                <w:lang w:eastAsia="zh-CN"/>
              </w:rPr>
              <w:t xml:space="preserve">Additional </w:t>
            </w:r>
            <w:r w:rsidRPr="00200547">
              <w:rPr>
                <w:rFonts w:cs="Arial"/>
                <w:bCs/>
                <w:sz w:val="19"/>
                <w:szCs w:val="19"/>
                <w:lang w:eastAsia="zh-CN"/>
              </w:rPr>
              <w:t>Bonds will be listed on The Stock Exchange of Hong Kong Limited (the “</w:t>
            </w:r>
            <w:r w:rsidRPr="00200547">
              <w:rPr>
                <w:rFonts w:cs="Arial"/>
                <w:b/>
                <w:sz w:val="19"/>
                <w:szCs w:val="19"/>
                <w:lang w:eastAsia="zh-CN"/>
              </w:rPr>
              <w:t>Hong</w:t>
            </w:r>
            <w:r w:rsidRPr="00200547">
              <w:rPr>
                <w:rFonts w:cs="Arial"/>
                <w:bCs/>
                <w:sz w:val="19"/>
                <w:szCs w:val="19"/>
                <w:lang w:eastAsia="zh-CN"/>
              </w:rPr>
              <w:t xml:space="preserve"> </w:t>
            </w:r>
            <w:r w:rsidRPr="00200547">
              <w:rPr>
                <w:rFonts w:cs="Arial"/>
                <w:b/>
                <w:sz w:val="19"/>
                <w:szCs w:val="19"/>
                <w:lang w:eastAsia="zh-CN"/>
              </w:rPr>
              <w:t>Kong Stock Exchange</w:t>
            </w:r>
            <w:r w:rsidRPr="00200547">
              <w:rPr>
                <w:rFonts w:cs="Arial"/>
                <w:bCs/>
                <w:sz w:val="19"/>
                <w:szCs w:val="19"/>
                <w:lang w:eastAsia="zh-CN"/>
              </w:rPr>
              <w:t>”).</w:t>
            </w:r>
          </w:p>
        </w:tc>
      </w:tr>
      <w:tr w:rsidR="007E3C4E" w:rsidRPr="00200547" w14:paraId="653E723F" w14:textId="77777777" w:rsidTr="00E049EC">
        <w:tc>
          <w:tcPr>
            <w:tcW w:w="1663" w:type="dxa"/>
            <w:shd w:val="clear" w:color="auto" w:fill="F2F2F2"/>
          </w:tcPr>
          <w:p w14:paraId="5F3428DC"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Further Issues</w:t>
            </w:r>
          </w:p>
        </w:tc>
        <w:tc>
          <w:tcPr>
            <w:tcW w:w="9022" w:type="dxa"/>
            <w:gridSpan w:val="4"/>
            <w:shd w:val="clear" w:color="auto" w:fill="F2F2F2"/>
          </w:tcPr>
          <w:p w14:paraId="6F1073FC" w14:textId="77777777" w:rsidR="00505294" w:rsidRPr="00200547" w:rsidRDefault="00505294" w:rsidP="00505294">
            <w:pPr>
              <w:pStyle w:val="Body"/>
              <w:spacing w:beforeLines="20" w:before="48" w:afterLines="20" w:after="48" w:line="240" w:lineRule="auto"/>
              <w:rPr>
                <w:rFonts w:cs="Arial"/>
                <w:bCs/>
                <w:sz w:val="19"/>
                <w:szCs w:val="19"/>
                <w:lang w:eastAsia="zh-CN"/>
              </w:rPr>
            </w:pPr>
            <w:r w:rsidRPr="00200547">
              <w:rPr>
                <w:rFonts w:cs="Arial"/>
                <w:bCs/>
                <w:sz w:val="19"/>
                <w:szCs w:val="19"/>
                <w:lang w:eastAsia="zh-CN"/>
              </w:rPr>
              <w:t xml:space="preserve">The Ministry of Finance may from time to time, without the consent of holders of the Bonds or coupons, create and issue further bonds for each series having the same terms and conditions as that series in all </w:t>
            </w:r>
            <w:r w:rsidRPr="00200547">
              <w:rPr>
                <w:rFonts w:cs="Arial"/>
                <w:bCs/>
                <w:sz w:val="19"/>
                <w:szCs w:val="19"/>
                <w:lang w:eastAsia="zh-CN"/>
              </w:rPr>
              <w:lastRenderedPageBreak/>
              <w:t>respects, except for the issue date, the issue price and the first payment of interest thereon. Additional bonds issued in this manner will be consolidated with and will form a single series with that series of Bonds.</w:t>
            </w:r>
          </w:p>
        </w:tc>
      </w:tr>
      <w:tr w:rsidR="007E3C4E" w:rsidRPr="00200547" w14:paraId="52917F0B" w14:textId="77777777" w:rsidTr="00E049EC">
        <w:tc>
          <w:tcPr>
            <w:tcW w:w="1663" w:type="dxa"/>
            <w:shd w:val="clear" w:color="auto" w:fill="D9D9D9" w:themeFill="background1" w:themeFillShade="D9"/>
          </w:tcPr>
          <w:p w14:paraId="27B1C3B7"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lastRenderedPageBreak/>
              <w:t>Taxation</w:t>
            </w:r>
          </w:p>
        </w:tc>
        <w:tc>
          <w:tcPr>
            <w:tcW w:w="9022" w:type="dxa"/>
            <w:gridSpan w:val="4"/>
            <w:shd w:val="clear" w:color="auto" w:fill="D9D9D9" w:themeFill="background1" w:themeFillShade="D9"/>
          </w:tcPr>
          <w:p w14:paraId="69ADFB60"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The Bonds are not subject to individual or enterprise income tax or stamp duty in the People’s Republic of China nor to profits tax or stamp duty in Hong Kong.</w:t>
            </w:r>
          </w:p>
        </w:tc>
      </w:tr>
      <w:tr w:rsidR="007E3C4E" w:rsidRPr="00200547" w14:paraId="3DE9227D" w14:textId="77777777" w:rsidTr="00E049EC">
        <w:tc>
          <w:tcPr>
            <w:tcW w:w="1663" w:type="dxa"/>
            <w:shd w:val="clear" w:color="auto" w:fill="F2F2F2" w:themeFill="background1" w:themeFillShade="F2"/>
          </w:tcPr>
          <w:p w14:paraId="32C3BBCA"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Governing Law</w:t>
            </w:r>
          </w:p>
        </w:tc>
        <w:tc>
          <w:tcPr>
            <w:tcW w:w="9022" w:type="dxa"/>
            <w:gridSpan w:val="4"/>
            <w:shd w:val="clear" w:color="auto" w:fill="F2F2F2" w:themeFill="background1" w:themeFillShade="F2"/>
          </w:tcPr>
          <w:p w14:paraId="1A07F25A"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The laws of the Hong Kong Special Administrative Region of the People’s Republic of China.</w:t>
            </w:r>
          </w:p>
        </w:tc>
      </w:tr>
      <w:tr w:rsidR="007E3C4E" w:rsidRPr="00200547" w14:paraId="3887E4F8" w14:textId="77777777" w:rsidTr="00E049EC">
        <w:tc>
          <w:tcPr>
            <w:tcW w:w="1663" w:type="dxa"/>
            <w:shd w:val="clear" w:color="auto" w:fill="D9D9D9" w:themeFill="background1" w:themeFillShade="D9"/>
          </w:tcPr>
          <w:p w14:paraId="33DCED4D"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Issuing and Lodging Agent</w:t>
            </w:r>
          </w:p>
        </w:tc>
        <w:tc>
          <w:tcPr>
            <w:tcW w:w="9022" w:type="dxa"/>
            <w:gridSpan w:val="4"/>
            <w:shd w:val="clear" w:color="auto" w:fill="D9D9D9" w:themeFill="background1" w:themeFillShade="D9"/>
          </w:tcPr>
          <w:p w14:paraId="3D887F49"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Bank of Communications Co., Ltd. Hong Kong Branch.</w:t>
            </w:r>
          </w:p>
        </w:tc>
      </w:tr>
      <w:tr w:rsidR="007E3C4E" w:rsidRPr="00200547" w14:paraId="23B5A7B0" w14:textId="77777777" w:rsidTr="00E049EC">
        <w:tc>
          <w:tcPr>
            <w:tcW w:w="1663" w:type="dxa"/>
            <w:shd w:val="clear" w:color="auto" w:fill="F2F2F2" w:themeFill="background1" w:themeFillShade="F2"/>
          </w:tcPr>
          <w:p w14:paraId="5067C294"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Fiscal Agent</w:t>
            </w:r>
          </w:p>
        </w:tc>
        <w:tc>
          <w:tcPr>
            <w:tcW w:w="9022" w:type="dxa"/>
            <w:gridSpan w:val="4"/>
            <w:shd w:val="clear" w:color="auto" w:fill="F2F2F2" w:themeFill="background1" w:themeFillShade="F2"/>
          </w:tcPr>
          <w:p w14:paraId="37A0825B"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Bank of Communications Co., Ltd. Hong Kong Branch.</w:t>
            </w:r>
          </w:p>
        </w:tc>
      </w:tr>
    </w:tbl>
    <w:p w14:paraId="0AEEE17C" w14:textId="77777777" w:rsidR="00505294" w:rsidRPr="00200547" w:rsidRDefault="00505294">
      <w:pPr>
        <w:pStyle w:val="Body"/>
        <w:rPr>
          <w:rFonts w:cs="Arial"/>
          <w:sz w:val="6"/>
          <w:szCs w:val="6"/>
        </w:rPr>
      </w:pPr>
    </w:p>
    <w:p w14:paraId="094CFDA9" w14:textId="77777777" w:rsidR="00505294" w:rsidRPr="00200547" w:rsidRDefault="00505294">
      <w:pPr>
        <w:pStyle w:val="Body"/>
        <w:rPr>
          <w:rFonts w:cs="Arial"/>
          <w:sz w:val="24"/>
        </w:rPr>
      </w:pPr>
      <w:r w:rsidRPr="00200547">
        <w:rPr>
          <w:rFonts w:cs="Arial"/>
        </w:rPr>
        <w:t>This Tender Information Memorandum is published in Chinese and English. The Chinese version shall be the authoritative version of this Tender Information Memorandum. The English version is intended merely for ease of reference. In the event of any inconsistency between the Chinese version and the English version of this Tender Information Memorandum, the Chinese version shall prevail.</w:t>
      </w:r>
    </w:p>
    <w:p w14:paraId="69ABE4EE" w14:textId="77777777" w:rsidR="00505294" w:rsidRPr="00200547" w:rsidRDefault="00505294">
      <w:pPr>
        <w:pStyle w:val="Body"/>
        <w:keepNext/>
        <w:pageBreakBefore/>
        <w:jc w:val="center"/>
        <w:rPr>
          <w:rFonts w:eastAsia="SimHei" w:cs="Arial"/>
          <w:b/>
          <w:sz w:val="24"/>
          <w:lang w:eastAsia="zh-CN"/>
        </w:rPr>
      </w:pPr>
      <w:r w:rsidRPr="00200547">
        <w:rPr>
          <w:rFonts w:eastAsia="SimHei" w:cs="Arial"/>
          <w:b/>
          <w:sz w:val="24"/>
          <w:lang w:eastAsia="zh-CN"/>
        </w:rPr>
        <w:t>Interpretation and Definitions</w:t>
      </w:r>
    </w:p>
    <w:p w14:paraId="027A6292" w14:textId="77777777" w:rsidR="00505294" w:rsidRPr="00200547" w:rsidRDefault="00505294">
      <w:pPr>
        <w:pStyle w:val="Body"/>
        <w:spacing w:before="60" w:after="60"/>
        <w:rPr>
          <w:rFonts w:eastAsia="SimSun" w:cs="Arial"/>
          <w:szCs w:val="20"/>
          <w:lang w:eastAsia="zh-CN"/>
        </w:rPr>
      </w:pPr>
      <w:r w:rsidRPr="00200547">
        <w:rPr>
          <w:rFonts w:cs="Arial"/>
          <w:szCs w:val="20"/>
          <w:lang w:eastAsia="zh-CN"/>
        </w:rPr>
        <w:t>Unless otherwise defined in this Tender Information Memorandum, the following terms shall have the following meaning:</w:t>
      </w:r>
    </w:p>
    <w:tbl>
      <w:tblPr>
        <w:tblW w:w="9472" w:type="dxa"/>
        <w:tblInd w:w="-116" w:type="dxa"/>
        <w:tblLayout w:type="fixed"/>
        <w:tblLook w:val="01E0" w:firstRow="1" w:lastRow="1" w:firstColumn="1" w:lastColumn="1" w:noHBand="0" w:noVBand="0"/>
      </w:tblPr>
      <w:tblGrid>
        <w:gridCol w:w="3084"/>
        <w:gridCol w:w="6388"/>
      </w:tblGrid>
      <w:tr w:rsidR="007E3C4E" w:rsidRPr="00200547" w14:paraId="1EDB1FE3" w14:textId="77777777" w:rsidTr="006E14CF">
        <w:tc>
          <w:tcPr>
            <w:tcW w:w="3084" w:type="dxa"/>
            <w:shd w:val="clear" w:color="auto" w:fill="auto"/>
          </w:tcPr>
          <w:p w14:paraId="2C2421EE" w14:textId="77777777" w:rsidR="00505294" w:rsidRPr="00200547" w:rsidRDefault="008710B6" w:rsidP="00505294">
            <w:pPr>
              <w:pStyle w:val="Body"/>
              <w:spacing w:before="40" w:after="40" w:line="240" w:lineRule="auto"/>
              <w:jc w:val="left"/>
              <w:rPr>
                <w:rFonts w:cs="Arial"/>
                <w:b/>
                <w:sz w:val="19"/>
                <w:szCs w:val="19"/>
                <w:lang w:eastAsia="zh-CN"/>
              </w:rPr>
            </w:pPr>
            <w:r w:rsidRPr="00200547">
              <w:rPr>
                <w:rFonts w:cs="Arial"/>
                <w:b/>
                <w:sz w:val="19"/>
                <w:szCs w:val="19"/>
                <w:lang w:eastAsia="zh-CN"/>
              </w:rPr>
              <w:t xml:space="preserve">Additional </w:t>
            </w:r>
            <w:r w:rsidR="00505294" w:rsidRPr="00200547">
              <w:rPr>
                <w:rFonts w:cs="Arial"/>
                <w:b/>
                <w:sz w:val="19"/>
                <w:szCs w:val="19"/>
                <w:lang w:eastAsia="zh-CN"/>
              </w:rPr>
              <w:t>Bonds</w:t>
            </w:r>
          </w:p>
        </w:tc>
        <w:tc>
          <w:tcPr>
            <w:tcW w:w="6388" w:type="dxa"/>
            <w:shd w:val="clear" w:color="auto" w:fill="auto"/>
          </w:tcPr>
          <w:p w14:paraId="0136655C" w14:textId="23AD2570" w:rsidR="00505294" w:rsidRPr="00200547" w:rsidRDefault="008710B6" w:rsidP="008C58E3">
            <w:pPr>
              <w:pStyle w:val="Body"/>
              <w:spacing w:before="40" w:after="40" w:line="240" w:lineRule="auto"/>
              <w:rPr>
                <w:rFonts w:cs="Arial"/>
                <w:sz w:val="19"/>
                <w:szCs w:val="19"/>
                <w:lang w:eastAsia="zh-CN"/>
              </w:rPr>
            </w:pPr>
            <w:r w:rsidRPr="00200547">
              <w:rPr>
                <w:rFonts w:eastAsia="SimHei" w:cs="Arial"/>
                <w:sz w:val="19"/>
                <w:szCs w:val="19"/>
                <w:lang w:eastAsia="zh-TW"/>
              </w:rPr>
              <w:t xml:space="preserve">Additional </w:t>
            </w:r>
            <w:r w:rsidR="00C36BBC">
              <w:rPr>
                <w:rFonts w:eastAsia="SimHei" w:cs="Arial"/>
                <w:sz w:val="19"/>
                <w:szCs w:val="19"/>
                <w:lang w:eastAsia="zh-TW"/>
              </w:rPr>
              <w:t>2023</w:t>
            </w:r>
            <w:r w:rsidR="002512C2" w:rsidRPr="00200547">
              <w:rPr>
                <w:rFonts w:cs="Arial"/>
                <w:sz w:val="19"/>
                <w:szCs w:val="19"/>
                <w:lang w:eastAsia="zh-CN"/>
              </w:rPr>
              <w:t xml:space="preserve"> </w:t>
            </w:r>
            <w:r w:rsidR="00505294" w:rsidRPr="00200547">
              <w:rPr>
                <w:rFonts w:cs="Arial"/>
                <w:sz w:val="19"/>
                <w:szCs w:val="19"/>
                <w:lang w:eastAsia="zh-CN"/>
              </w:rPr>
              <w:t>Bonds</w:t>
            </w:r>
            <w:r w:rsidR="00C4786A">
              <w:rPr>
                <w:rFonts w:cs="Arial"/>
                <w:sz w:val="19"/>
                <w:szCs w:val="19"/>
                <w:lang w:eastAsia="zh-CN"/>
              </w:rPr>
              <w:t xml:space="preserve">, </w:t>
            </w:r>
            <w:r w:rsidRPr="00200547">
              <w:rPr>
                <w:rFonts w:eastAsia="SimHei" w:cs="Arial"/>
                <w:sz w:val="19"/>
                <w:szCs w:val="19"/>
                <w:lang w:eastAsia="zh-TW"/>
              </w:rPr>
              <w:t>Additional</w:t>
            </w:r>
            <w:r w:rsidRPr="00200547">
              <w:rPr>
                <w:rFonts w:cs="Arial"/>
                <w:sz w:val="19"/>
                <w:szCs w:val="19"/>
                <w:lang w:eastAsia="zh-CN"/>
              </w:rPr>
              <w:t xml:space="preserve"> </w:t>
            </w:r>
            <w:r w:rsidR="00342CA5">
              <w:rPr>
                <w:rFonts w:cs="Arial"/>
                <w:sz w:val="19"/>
                <w:szCs w:val="19"/>
                <w:lang w:eastAsia="zh-CN"/>
              </w:rPr>
              <w:t>2026</w:t>
            </w:r>
            <w:r w:rsidR="00342CA5" w:rsidRPr="00200547">
              <w:rPr>
                <w:rFonts w:cs="Arial"/>
                <w:sz w:val="19"/>
                <w:szCs w:val="19"/>
                <w:lang w:eastAsia="zh-CN"/>
              </w:rPr>
              <w:t xml:space="preserve"> </w:t>
            </w:r>
            <w:r w:rsidR="00D23F4A" w:rsidRPr="00200547">
              <w:rPr>
                <w:rFonts w:cs="Arial"/>
                <w:sz w:val="19"/>
                <w:szCs w:val="19"/>
                <w:lang w:eastAsia="zh-CN"/>
              </w:rPr>
              <w:t>Bonds</w:t>
            </w:r>
            <w:r w:rsidR="00C4786A">
              <w:rPr>
                <w:rFonts w:cs="Arial"/>
                <w:sz w:val="19"/>
                <w:szCs w:val="19"/>
                <w:lang w:eastAsia="zh-CN"/>
              </w:rPr>
              <w:t xml:space="preserve"> and Additional 20</w:t>
            </w:r>
            <w:r w:rsidR="00342CA5">
              <w:rPr>
                <w:rFonts w:cs="Arial"/>
                <w:sz w:val="19"/>
                <w:szCs w:val="19"/>
                <w:lang w:eastAsia="zh-CN"/>
              </w:rPr>
              <w:t>31</w:t>
            </w:r>
            <w:r w:rsidR="00C4786A">
              <w:rPr>
                <w:rFonts w:cs="Arial"/>
                <w:sz w:val="19"/>
                <w:szCs w:val="19"/>
                <w:lang w:eastAsia="zh-CN"/>
              </w:rPr>
              <w:t xml:space="preserve"> Bonds.</w:t>
            </w:r>
          </w:p>
        </w:tc>
      </w:tr>
      <w:tr w:rsidR="007E3C4E" w:rsidRPr="00200547" w14:paraId="61DD7749" w14:textId="77777777" w:rsidTr="006E14CF">
        <w:tc>
          <w:tcPr>
            <w:tcW w:w="3084" w:type="dxa"/>
            <w:shd w:val="clear" w:color="auto" w:fill="auto"/>
          </w:tcPr>
          <w:p w14:paraId="57631A69" w14:textId="4ADE0E9D" w:rsidR="00505294" w:rsidRPr="00200547" w:rsidRDefault="008710B6" w:rsidP="00164E5E">
            <w:pPr>
              <w:pStyle w:val="Body"/>
              <w:spacing w:before="40" w:after="40" w:line="240" w:lineRule="auto"/>
              <w:jc w:val="left"/>
              <w:rPr>
                <w:rFonts w:cs="Arial"/>
                <w:b/>
                <w:bCs/>
                <w:sz w:val="19"/>
                <w:szCs w:val="19"/>
                <w:lang w:eastAsia="zh-CN"/>
              </w:rPr>
            </w:pPr>
            <w:r w:rsidRPr="00200547">
              <w:rPr>
                <w:rFonts w:eastAsia="SimHei" w:cs="Arial"/>
                <w:b/>
                <w:sz w:val="19"/>
                <w:szCs w:val="19"/>
                <w:lang w:eastAsia="zh-TW"/>
              </w:rPr>
              <w:t xml:space="preserve">Additional </w:t>
            </w:r>
            <w:r w:rsidR="00C36BBC">
              <w:rPr>
                <w:rFonts w:eastAsia="SimHei" w:cs="Arial"/>
                <w:b/>
                <w:sz w:val="19"/>
                <w:szCs w:val="19"/>
                <w:lang w:eastAsia="zh-TW"/>
              </w:rPr>
              <w:t>2023</w:t>
            </w:r>
            <w:r w:rsidR="002512C2" w:rsidRPr="00200547">
              <w:rPr>
                <w:rFonts w:cs="Arial"/>
                <w:b/>
                <w:bCs/>
                <w:sz w:val="19"/>
                <w:szCs w:val="19"/>
                <w:lang w:eastAsia="zh-CN"/>
              </w:rPr>
              <w:t xml:space="preserve"> </w:t>
            </w:r>
            <w:r w:rsidR="00505294" w:rsidRPr="00200547">
              <w:rPr>
                <w:rFonts w:cs="Arial"/>
                <w:b/>
                <w:bCs/>
                <w:sz w:val="19"/>
                <w:szCs w:val="19"/>
                <w:lang w:eastAsia="zh-CN"/>
              </w:rPr>
              <w:t>Bonds</w:t>
            </w:r>
          </w:p>
        </w:tc>
        <w:tc>
          <w:tcPr>
            <w:tcW w:w="6388" w:type="dxa"/>
            <w:shd w:val="clear" w:color="auto" w:fill="auto"/>
          </w:tcPr>
          <w:p w14:paraId="0FF91669" w14:textId="35D47BC1" w:rsidR="00505294" w:rsidRPr="00200547" w:rsidRDefault="00505294" w:rsidP="008710B6">
            <w:pPr>
              <w:pStyle w:val="Body"/>
              <w:spacing w:before="40" w:after="40" w:line="240" w:lineRule="auto"/>
              <w:jc w:val="left"/>
              <w:rPr>
                <w:rFonts w:cs="Arial"/>
                <w:sz w:val="19"/>
                <w:szCs w:val="19"/>
                <w:lang w:eastAsia="zh-CN"/>
              </w:rPr>
            </w:pPr>
            <w:r w:rsidRPr="00200547">
              <w:rPr>
                <w:rFonts w:cs="Arial"/>
                <w:sz w:val="19"/>
                <w:szCs w:val="19"/>
                <w:lang w:eastAsia="zh-CN"/>
              </w:rPr>
              <w:t>RMB</w:t>
            </w:r>
            <w:r w:rsidR="006E12ED">
              <w:rPr>
                <w:rFonts w:cs="Arial"/>
                <w:sz w:val="19"/>
                <w:szCs w:val="19"/>
                <w:lang w:eastAsia="zh-CN"/>
              </w:rPr>
              <w:t>3.0</w:t>
            </w:r>
            <w:r w:rsidR="007F3685">
              <w:rPr>
                <w:rFonts w:cs="Arial"/>
                <w:sz w:val="19"/>
                <w:szCs w:val="19"/>
                <w:lang w:eastAsia="zh-CN"/>
              </w:rPr>
              <w:t xml:space="preserve"> billion </w:t>
            </w:r>
            <w:r w:rsidRPr="00200547">
              <w:rPr>
                <w:rFonts w:cs="Arial"/>
                <w:sz w:val="19"/>
                <w:szCs w:val="19"/>
                <w:lang w:eastAsia="zh-CN"/>
              </w:rPr>
              <w:t xml:space="preserve">Bonds due </w:t>
            </w:r>
            <w:r w:rsidR="00C36BBC">
              <w:rPr>
                <w:rFonts w:eastAsia="SimHei" w:cs="Arial"/>
                <w:sz w:val="19"/>
                <w:szCs w:val="19"/>
                <w:lang w:eastAsia="zh-TW"/>
              </w:rPr>
              <w:t>2023</w:t>
            </w:r>
            <w:r w:rsidR="002512C2">
              <w:rPr>
                <w:rFonts w:eastAsia="SimHei" w:cs="Arial"/>
                <w:sz w:val="19"/>
                <w:szCs w:val="19"/>
                <w:lang w:eastAsia="zh-TW"/>
              </w:rPr>
              <w:t xml:space="preserve"> </w:t>
            </w:r>
            <w:r w:rsidR="00D04F6F">
              <w:rPr>
                <w:rFonts w:eastAsia="SimHei" w:cs="Arial" w:hint="eastAsia"/>
                <w:sz w:val="19"/>
                <w:szCs w:val="19"/>
                <w:lang w:eastAsia="zh-CN"/>
              </w:rPr>
              <w:t>with</w:t>
            </w:r>
            <w:r w:rsidR="00D04F6F">
              <w:rPr>
                <w:rFonts w:eastAsia="SimHei" w:cs="Arial"/>
                <w:sz w:val="19"/>
                <w:szCs w:val="19"/>
                <w:lang w:eastAsia="zh-TW"/>
              </w:rPr>
              <w:t xml:space="preserve"> an annual interest rate of </w:t>
            </w:r>
            <w:r w:rsidR="00C36BBC">
              <w:rPr>
                <w:rFonts w:cs="Arial"/>
                <w:sz w:val="19"/>
                <w:szCs w:val="19"/>
                <w:lang w:eastAsia="zh-CN"/>
              </w:rPr>
              <w:t xml:space="preserve">2.41 per cent. </w:t>
            </w:r>
            <w:r w:rsidR="00D04F6F" w:rsidRPr="00200547">
              <w:rPr>
                <w:rFonts w:cs="Arial"/>
                <w:sz w:val="19"/>
                <w:szCs w:val="19"/>
                <w:lang w:eastAsia="zh-CN"/>
              </w:rPr>
              <w:t xml:space="preserve"> </w:t>
            </w:r>
            <w:r w:rsidR="008710B6" w:rsidRPr="00200547">
              <w:rPr>
                <w:rFonts w:cs="Arial"/>
                <w:sz w:val="19"/>
                <w:szCs w:val="19"/>
                <w:lang w:eastAsia="zh-CN"/>
              </w:rPr>
              <w:t xml:space="preserve">(to be consolidated and form a single series with the Original </w:t>
            </w:r>
            <w:r w:rsidR="00C36BBC">
              <w:rPr>
                <w:rFonts w:cs="Arial"/>
                <w:sz w:val="19"/>
                <w:szCs w:val="19"/>
                <w:lang w:eastAsia="zh-CN"/>
              </w:rPr>
              <w:t>2023</w:t>
            </w:r>
            <w:r w:rsidR="002512C2" w:rsidRPr="00200547">
              <w:rPr>
                <w:rFonts w:cs="Arial"/>
                <w:sz w:val="19"/>
                <w:szCs w:val="19"/>
                <w:lang w:eastAsia="zh-CN"/>
              </w:rPr>
              <w:t xml:space="preserve"> </w:t>
            </w:r>
            <w:r w:rsidR="008710B6" w:rsidRPr="00200547">
              <w:rPr>
                <w:rFonts w:cs="Arial"/>
                <w:sz w:val="19"/>
                <w:szCs w:val="19"/>
                <w:lang w:eastAsia="zh-CN"/>
              </w:rPr>
              <w:t xml:space="preserve">Bonds) </w:t>
            </w:r>
            <w:r w:rsidRPr="00200547">
              <w:rPr>
                <w:rFonts w:cs="Arial"/>
                <w:sz w:val="19"/>
                <w:szCs w:val="19"/>
                <w:lang w:eastAsia="zh-CN"/>
              </w:rPr>
              <w:t xml:space="preserve">(CMU Instrument No: </w:t>
            </w:r>
            <w:r w:rsidR="00C36BBC">
              <w:rPr>
                <w:rFonts w:eastAsia="SimHei" w:cs="Arial"/>
                <w:sz w:val="19"/>
                <w:szCs w:val="19"/>
                <w:lang w:eastAsia="zh-CN"/>
              </w:rPr>
              <w:t>BCMKFB21002</w:t>
            </w:r>
            <w:r w:rsidR="004B20AF" w:rsidRPr="00200547">
              <w:rPr>
                <w:rFonts w:cs="Arial"/>
                <w:sz w:val="19"/>
                <w:szCs w:val="19"/>
                <w:lang w:eastAsia="zh-CN"/>
              </w:rPr>
              <w:t>).</w:t>
            </w:r>
          </w:p>
        </w:tc>
      </w:tr>
      <w:tr w:rsidR="00D23F4A" w:rsidRPr="00200547" w14:paraId="34A601DD" w14:textId="77777777" w:rsidTr="006E14CF">
        <w:tc>
          <w:tcPr>
            <w:tcW w:w="3084" w:type="dxa"/>
            <w:shd w:val="clear" w:color="auto" w:fill="auto"/>
          </w:tcPr>
          <w:p w14:paraId="08360DC1" w14:textId="150E8878" w:rsidR="00D23F4A" w:rsidRPr="00200547" w:rsidRDefault="008710B6" w:rsidP="00D23F4A">
            <w:pPr>
              <w:pStyle w:val="Body"/>
              <w:spacing w:before="40" w:after="40" w:line="240" w:lineRule="auto"/>
              <w:jc w:val="left"/>
              <w:rPr>
                <w:rFonts w:eastAsia="SimHei" w:cs="Arial"/>
                <w:b/>
                <w:sz w:val="19"/>
                <w:szCs w:val="19"/>
                <w:lang w:eastAsia="zh-TW"/>
              </w:rPr>
            </w:pPr>
            <w:r w:rsidRPr="00200547">
              <w:rPr>
                <w:rFonts w:eastAsia="SimHei" w:cs="Arial"/>
                <w:b/>
                <w:sz w:val="19"/>
                <w:szCs w:val="19"/>
                <w:lang w:eastAsia="zh-TW"/>
              </w:rPr>
              <w:t xml:space="preserve">Additional </w:t>
            </w:r>
            <w:r w:rsidR="00C4786A">
              <w:rPr>
                <w:rFonts w:eastAsia="SimHei" w:cs="Arial"/>
                <w:b/>
                <w:sz w:val="19"/>
                <w:szCs w:val="19"/>
                <w:lang w:eastAsia="zh-TW"/>
              </w:rPr>
              <w:t>2026</w:t>
            </w:r>
            <w:r w:rsidR="002512C2" w:rsidRPr="00200547">
              <w:rPr>
                <w:rFonts w:cs="Arial"/>
                <w:b/>
                <w:bCs/>
                <w:sz w:val="19"/>
                <w:szCs w:val="19"/>
                <w:lang w:eastAsia="zh-CN"/>
              </w:rPr>
              <w:t xml:space="preserve"> </w:t>
            </w:r>
            <w:r w:rsidR="00D23F4A" w:rsidRPr="00200547">
              <w:rPr>
                <w:rFonts w:cs="Arial"/>
                <w:b/>
                <w:bCs/>
                <w:sz w:val="19"/>
                <w:szCs w:val="19"/>
                <w:lang w:eastAsia="zh-CN"/>
              </w:rPr>
              <w:t>Bonds</w:t>
            </w:r>
          </w:p>
        </w:tc>
        <w:tc>
          <w:tcPr>
            <w:tcW w:w="6388" w:type="dxa"/>
            <w:shd w:val="clear" w:color="auto" w:fill="auto"/>
          </w:tcPr>
          <w:p w14:paraId="1CBA5D9D" w14:textId="521614AD" w:rsidR="00F37B64" w:rsidRPr="00200547" w:rsidRDefault="00D23F4A" w:rsidP="008710B6">
            <w:pPr>
              <w:pStyle w:val="Body"/>
              <w:spacing w:before="40" w:after="40" w:line="240" w:lineRule="auto"/>
              <w:jc w:val="left"/>
              <w:rPr>
                <w:rFonts w:cs="Arial"/>
                <w:sz w:val="19"/>
                <w:szCs w:val="19"/>
                <w:lang w:eastAsia="zh-CN"/>
              </w:rPr>
            </w:pPr>
            <w:r w:rsidRPr="00200547">
              <w:rPr>
                <w:rFonts w:cs="Arial"/>
                <w:sz w:val="19"/>
                <w:szCs w:val="19"/>
                <w:lang w:eastAsia="zh-CN"/>
              </w:rPr>
              <w:t>RMB</w:t>
            </w:r>
            <w:r w:rsidR="006E12ED">
              <w:rPr>
                <w:rFonts w:cs="Arial"/>
                <w:sz w:val="19"/>
                <w:szCs w:val="19"/>
                <w:lang w:eastAsia="zh-CN"/>
              </w:rPr>
              <w:t>2.0</w:t>
            </w:r>
            <w:r w:rsidR="007F3685">
              <w:rPr>
                <w:rFonts w:cs="Arial"/>
                <w:sz w:val="19"/>
                <w:szCs w:val="19"/>
                <w:lang w:eastAsia="zh-CN"/>
              </w:rPr>
              <w:t xml:space="preserve"> billion</w:t>
            </w:r>
            <w:r w:rsidR="008710B6" w:rsidRPr="00200547">
              <w:rPr>
                <w:rFonts w:cs="Arial"/>
                <w:sz w:val="19"/>
                <w:szCs w:val="19"/>
                <w:lang w:eastAsia="zh-CN"/>
              </w:rPr>
              <w:t xml:space="preserve"> </w:t>
            </w:r>
            <w:r w:rsidRPr="00200547">
              <w:rPr>
                <w:rFonts w:cs="Arial"/>
                <w:sz w:val="19"/>
                <w:szCs w:val="19"/>
                <w:lang w:eastAsia="zh-CN"/>
              </w:rPr>
              <w:t xml:space="preserve">Bonds due </w:t>
            </w:r>
            <w:r w:rsidR="006E12ED">
              <w:rPr>
                <w:rFonts w:eastAsia="SimHei" w:cs="Arial"/>
                <w:sz w:val="19"/>
                <w:szCs w:val="19"/>
                <w:lang w:eastAsia="zh-TW"/>
              </w:rPr>
              <w:t>2026</w:t>
            </w:r>
            <w:r w:rsidR="00114C53" w:rsidRPr="00200547">
              <w:rPr>
                <w:rFonts w:eastAsia="SimHei" w:cs="Arial"/>
                <w:sz w:val="19"/>
                <w:szCs w:val="19"/>
                <w:lang w:eastAsia="zh-TW"/>
              </w:rPr>
              <w:t xml:space="preserve"> </w:t>
            </w:r>
            <w:r w:rsidR="00D04F6F">
              <w:rPr>
                <w:rFonts w:eastAsia="SimHei" w:cs="Arial"/>
                <w:sz w:val="19"/>
                <w:szCs w:val="19"/>
                <w:lang w:eastAsia="zh-TW"/>
              </w:rPr>
              <w:t xml:space="preserve">with an annual interest rate of </w:t>
            </w:r>
            <w:r w:rsidR="006E12ED">
              <w:rPr>
                <w:rFonts w:cs="Arial"/>
                <w:sz w:val="19"/>
                <w:szCs w:val="19"/>
                <w:lang w:eastAsia="zh-CN"/>
              </w:rPr>
              <w:t>2.50</w:t>
            </w:r>
            <w:r w:rsidR="00C36BBC">
              <w:rPr>
                <w:rFonts w:cs="Arial"/>
                <w:sz w:val="19"/>
                <w:szCs w:val="19"/>
                <w:lang w:eastAsia="zh-CN"/>
              </w:rPr>
              <w:t xml:space="preserve"> per cent. </w:t>
            </w:r>
            <w:r w:rsidR="00D04F6F" w:rsidRPr="00200547">
              <w:rPr>
                <w:rFonts w:cs="Arial"/>
                <w:sz w:val="19"/>
                <w:szCs w:val="19"/>
                <w:lang w:eastAsia="zh-CN"/>
              </w:rPr>
              <w:t xml:space="preserve"> </w:t>
            </w:r>
            <w:r w:rsidR="008710B6" w:rsidRPr="00200547">
              <w:rPr>
                <w:rFonts w:eastAsia="SimHei" w:cs="Arial"/>
                <w:sz w:val="19"/>
                <w:szCs w:val="19"/>
                <w:lang w:eastAsia="zh-TW"/>
              </w:rPr>
              <w:t xml:space="preserve">(to be consolidated and form a single series with the Original </w:t>
            </w:r>
            <w:r w:rsidR="006E12ED">
              <w:rPr>
                <w:rFonts w:eastAsia="SimHei" w:cs="Arial"/>
                <w:sz w:val="19"/>
                <w:szCs w:val="19"/>
                <w:lang w:eastAsia="zh-TW"/>
              </w:rPr>
              <w:t>2026</w:t>
            </w:r>
            <w:r w:rsidR="006E12ED" w:rsidRPr="00200547">
              <w:rPr>
                <w:rFonts w:eastAsia="SimHei" w:cs="Arial"/>
                <w:sz w:val="19"/>
                <w:szCs w:val="19"/>
                <w:lang w:eastAsia="zh-TW"/>
              </w:rPr>
              <w:t xml:space="preserve"> </w:t>
            </w:r>
            <w:r w:rsidR="008710B6" w:rsidRPr="00200547">
              <w:rPr>
                <w:rFonts w:eastAsia="SimHei" w:cs="Arial"/>
                <w:sz w:val="19"/>
                <w:szCs w:val="19"/>
                <w:lang w:eastAsia="zh-TW"/>
              </w:rPr>
              <w:t>Bonds)</w:t>
            </w:r>
            <w:r w:rsidR="0026332D" w:rsidRPr="00200547">
              <w:rPr>
                <w:rFonts w:cs="Arial"/>
                <w:sz w:val="19"/>
                <w:szCs w:val="19"/>
                <w:lang w:eastAsia="zh-CN"/>
              </w:rPr>
              <w:t xml:space="preserve"> </w:t>
            </w:r>
            <w:r w:rsidRPr="00200547">
              <w:rPr>
                <w:rFonts w:cs="Arial"/>
                <w:sz w:val="19"/>
                <w:szCs w:val="19"/>
                <w:lang w:eastAsia="zh-CN"/>
              </w:rPr>
              <w:t>(CMU Instrument No:</w:t>
            </w:r>
            <w:r w:rsidR="00C36BBC">
              <w:rPr>
                <w:rFonts w:eastAsia="SimHei" w:cs="Arial"/>
                <w:sz w:val="19"/>
                <w:szCs w:val="19"/>
                <w:lang w:eastAsia="zh-CN"/>
              </w:rPr>
              <w:t>BCMKFB21003</w:t>
            </w:r>
            <w:r w:rsidRPr="00200547">
              <w:rPr>
                <w:rFonts w:cs="Arial"/>
                <w:sz w:val="19"/>
                <w:szCs w:val="19"/>
                <w:lang w:eastAsia="zh-CN"/>
              </w:rPr>
              <w:t>).</w:t>
            </w:r>
          </w:p>
        </w:tc>
      </w:tr>
      <w:tr w:rsidR="00C4786A" w:rsidRPr="00200547" w14:paraId="23631BAA" w14:textId="77777777" w:rsidTr="006E12ED">
        <w:trPr>
          <w:trHeight w:val="852"/>
        </w:trPr>
        <w:tc>
          <w:tcPr>
            <w:tcW w:w="3084" w:type="dxa"/>
            <w:shd w:val="clear" w:color="auto" w:fill="auto"/>
          </w:tcPr>
          <w:p w14:paraId="4241B320" w14:textId="6277D0A4" w:rsidR="00C4786A" w:rsidRPr="00200547" w:rsidRDefault="00C4786A" w:rsidP="00D23F4A">
            <w:pPr>
              <w:pStyle w:val="Body"/>
              <w:spacing w:before="40" w:after="40" w:line="240" w:lineRule="auto"/>
              <w:jc w:val="left"/>
              <w:rPr>
                <w:rFonts w:eastAsia="SimHei" w:cs="Arial"/>
                <w:b/>
                <w:sz w:val="19"/>
                <w:szCs w:val="19"/>
                <w:lang w:eastAsia="zh-TW"/>
              </w:rPr>
            </w:pPr>
            <w:r>
              <w:rPr>
                <w:rFonts w:eastAsia="SimHei" w:cs="Arial"/>
                <w:b/>
                <w:sz w:val="19"/>
                <w:szCs w:val="19"/>
                <w:lang w:eastAsia="zh-TW"/>
              </w:rPr>
              <w:t xml:space="preserve">Additional 2031 Bonds </w:t>
            </w:r>
          </w:p>
        </w:tc>
        <w:tc>
          <w:tcPr>
            <w:tcW w:w="6388" w:type="dxa"/>
            <w:shd w:val="clear" w:color="auto" w:fill="auto"/>
          </w:tcPr>
          <w:p w14:paraId="6D81B0A8" w14:textId="630812D7" w:rsidR="00C4786A" w:rsidRPr="006E12ED" w:rsidRDefault="006E12ED" w:rsidP="006E12ED">
            <w:pPr>
              <w:pStyle w:val="Body"/>
              <w:rPr>
                <w:sz w:val="19"/>
                <w:szCs w:val="19"/>
                <w:lang w:val="en-GB" w:eastAsia="zh-CN"/>
              </w:rPr>
            </w:pPr>
            <w:r w:rsidRPr="006E12ED">
              <w:rPr>
                <w:sz w:val="19"/>
                <w:szCs w:val="19"/>
                <w:lang w:val="en-GB" w:eastAsia="zh-CN"/>
              </w:rPr>
              <w:t>RMB1.0 billion Bonds due 2031</w:t>
            </w:r>
            <w:r>
              <w:rPr>
                <w:sz w:val="19"/>
                <w:szCs w:val="19"/>
                <w:lang w:val="en-GB" w:eastAsia="zh-CN"/>
              </w:rPr>
              <w:t xml:space="preserve"> with an annual interest rate of 4.15 per cent.</w:t>
            </w:r>
            <w:r w:rsidRPr="006E12ED">
              <w:rPr>
                <w:sz w:val="19"/>
                <w:szCs w:val="19"/>
                <w:lang w:val="en-GB" w:eastAsia="zh-CN"/>
              </w:rPr>
              <w:t xml:space="preserve"> (to be consolidated and form a single series with the </w:t>
            </w:r>
            <w:r>
              <w:rPr>
                <w:sz w:val="19"/>
                <w:szCs w:val="19"/>
                <w:lang w:val="en-GB" w:eastAsia="zh-CN"/>
              </w:rPr>
              <w:t>Original 2031 Bonds</w:t>
            </w:r>
            <w:r w:rsidRPr="006E12ED">
              <w:rPr>
                <w:sz w:val="19"/>
                <w:szCs w:val="19"/>
                <w:lang w:val="en-GB" w:eastAsia="zh-CN"/>
              </w:rPr>
              <w:t>) (CMU Instrument No: BCMKFB16023)</w:t>
            </w:r>
            <w:r w:rsidR="00C36A47">
              <w:rPr>
                <w:sz w:val="19"/>
                <w:szCs w:val="19"/>
                <w:lang w:val="en-GB" w:eastAsia="zh-CN"/>
              </w:rPr>
              <w:t>.</w:t>
            </w:r>
          </w:p>
        </w:tc>
      </w:tr>
      <w:tr w:rsidR="001D7255" w:rsidRPr="00200547" w14:paraId="5093C0B2" w14:textId="77777777" w:rsidTr="006E14CF">
        <w:tc>
          <w:tcPr>
            <w:tcW w:w="3084" w:type="dxa"/>
            <w:shd w:val="clear" w:color="auto" w:fill="auto"/>
          </w:tcPr>
          <w:p w14:paraId="5FA24D1B" w14:textId="77777777" w:rsidR="001D7255" w:rsidRPr="00200547" w:rsidRDefault="001D7255" w:rsidP="001751D7">
            <w:pPr>
              <w:pStyle w:val="Body"/>
              <w:spacing w:before="40" w:after="40" w:line="240" w:lineRule="auto"/>
              <w:jc w:val="left"/>
              <w:rPr>
                <w:rFonts w:cs="Arial"/>
                <w:b/>
                <w:sz w:val="19"/>
                <w:szCs w:val="19"/>
                <w:lang w:eastAsia="zh-CN"/>
              </w:rPr>
            </w:pPr>
            <w:r w:rsidRPr="00200547">
              <w:rPr>
                <w:rFonts w:cs="Arial"/>
                <w:b/>
                <w:sz w:val="19"/>
                <w:szCs w:val="19"/>
                <w:lang w:eastAsia="zh-CN"/>
              </w:rPr>
              <w:t>Original Bonds</w:t>
            </w:r>
          </w:p>
        </w:tc>
        <w:tc>
          <w:tcPr>
            <w:tcW w:w="6388" w:type="dxa"/>
            <w:shd w:val="clear" w:color="auto" w:fill="auto"/>
          </w:tcPr>
          <w:p w14:paraId="7074EC22" w14:textId="41548DF7" w:rsidR="001D7255" w:rsidRPr="00200547" w:rsidRDefault="001D7255" w:rsidP="001751D7">
            <w:pPr>
              <w:pStyle w:val="Body"/>
              <w:spacing w:before="40" w:after="40" w:line="240" w:lineRule="auto"/>
              <w:rPr>
                <w:rFonts w:cs="Arial"/>
                <w:sz w:val="19"/>
                <w:szCs w:val="19"/>
                <w:lang w:eastAsia="zh-CN"/>
              </w:rPr>
            </w:pPr>
            <w:r w:rsidRPr="00200547">
              <w:rPr>
                <w:rFonts w:cs="Arial"/>
                <w:sz w:val="19"/>
                <w:szCs w:val="19"/>
                <w:lang w:eastAsia="zh-CN"/>
              </w:rPr>
              <w:t xml:space="preserve">Original </w:t>
            </w:r>
            <w:r w:rsidR="00C36BBC">
              <w:rPr>
                <w:rFonts w:cs="Arial"/>
                <w:sz w:val="19"/>
                <w:szCs w:val="19"/>
                <w:lang w:eastAsia="zh-CN"/>
              </w:rPr>
              <w:t>2023</w:t>
            </w:r>
            <w:r w:rsidR="00114C53" w:rsidRPr="00200547">
              <w:rPr>
                <w:rFonts w:cs="Arial"/>
                <w:sz w:val="19"/>
                <w:szCs w:val="19"/>
                <w:lang w:eastAsia="zh-CN"/>
              </w:rPr>
              <w:t xml:space="preserve"> </w:t>
            </w:r>
            <w:r w:rsidRPr="00200547">
              <w:rPr>
                <w:rFonts w:cs="Arial"/>
                <w:sz w:val="19"/>
                <w:szCs w:val="19"/>
                <w:lang w:eastAsia="zh-CN"/>
              </w:rPr>
              <w:t>Bonds</w:t>
            </w:r>
            <w:r w:rsidR="006E12ED">
              <w:rPr>
                <w:rFonts w:cs="Arial"/>
                <w:sz w:val="19"/>
                <w:szCs w:val="19"/>
                <w:lang w:eastAsia="zh-CN"/>
              </w:rPr>
              <w:t>,</w:t>
            </w:r>
            <w:r w:rsidRPr="00200547">
              <w:rPr>
                <w:rFonts w:cs="Arial"/>
                <w:sz w:val="19"/>
                <w:szCs w:val="19"/>
                <w:lang w:eastAsia="zh-CN"/>
              </w:rPr>
              <w:t xml:space="preserve"> Original </w:t>
            </w:r>
            <w:r w:rsidR="006E12ED">
              <w:rPr>
                <w:rFonts w:cs="Arial"/>
                <w:sz w:val="19"/>
                <w:szCs w:val="19"/>
                <w:lang w:eastAsia="zh-CN"/>
              </w:rPr>
              <w:t>2026</w:t>
            </w:r>
            <w:r w:rsidR="00114C53" w:rsidRPr="00200547">
              <w:rPr>
                <w:rFonts w:cs="Arial"/>
                <w:sz w:val="19"/>
                <w:szCs w:val="19"/>
                <w:lang w:eastAsia="zh-CN"/>
              </w:rPr>
              <w:t xml:space="preserve"> </w:t>
            </w:r>
            <w:r w:rsidRPr="00200547">
              <w:rPr>
                <w:rFonts w:cs="Arial"/>
                <w:sz w:val="19"/>
                <w:szCs w:val="19"/>
                <w:lang w:eastAsia="zh-CN"/>
              </w:rPr>
              <w:t>Bonds</w:t>
            </w:r>
            <w:r w:rsidR="006E12ED">
              <w:rPr>
                <w:rFonts w:cs="Arial"/>
                <w:sz w:val="19"/>
                <w:szCs w:val="19"/>
                <w:lang w:eastAsia="zh-CN"/>
              </w:rPr>
              <w:t xml:space="preserve"> and Original 2031 Bonds.</w:t>
            </w:r>
          </w:p>
        </w:tc>
      </w:tr>
      <w:tr w:rsidR="001D7255" w:rsidRPr="00200547" w14:paraId="32B7206C" w14:textId="77777777" w:rsidTr="006E14CF">
        <w:tc>
          <w:tcPr>
            <w:tcW w:w="3084" w:type="dxa"/>
            <w:shd w:val="clear" w:color="auto" w:fill="auto"/>
          </w:tcPr>
          <w:p w14:paraId="4F545FAE" w14:textId="77777777" w:rsidR="001D7255" w:rsidRPr="00200547" w:rsidRDefault="001D7255" w:rsidP="001751D7">
            <w:pPr>
              <w:pStyle w:val="Body"/>
              <w:spacing w:before="40" w:after="40" w:line="240" w:lineRule="auto"/>
              <w:jc w:val="left"/>
              <w:rPr>
                <w:rFonts w:cs="Arial"/>
                <w:b/>
                <w:color w:val="000000" w:themeColor="text1"/>
                <w:sz w:val="19"/>
                <w:szCs w:val="19"/>
                <w:lang w:eastAsia="zh-CN"/>
              </w:rPr>
            </w:pPr>
            <w:r w:rsidRPr="00200547">
              <w:rPr>
                <w:rFonts w:cs="Arial"/>
                <w:b/>
                <w:bCs/>
                <w:color w:val="000000" w:themeColor="text1"/>
                <w:sz w:val="19"/>
                <w:szCs w:val="19"/>
                <w:lang w:val="en-GB" w:eastAsia="zh-CN"/>
              </w:rPr>
              <w:t>Original Issue Date</w:t>
            </w:r>
          </w:p>
        </w:tc>
        <w:tc>
          <w:tcPr>
            <w:tcW w:w="6388" w:type="dxa"/>
            <w:shd w:val="clear" w:color="auto" w:fill="auto"/>
          </w:tcPr>
          <w:p w14:paraId="04062B3E" w14:textId="5007D400" w:rsidR="00C8363C" w:rsidRDefault="00B368AD" w:rsidP="001751D7">
            <w:pPr>
              <w:pStyle w:val="Body"/>
              <w:spacing w:before="40" w:after="40" w:line="240" w:lineRule="auto"/>
              <w:rPr>
                <w:rFonts w:cs="Arial"/>
                <w:sz w:val="19"/>
                <w:szCs w:val="19"/>
                <w:lang w:eastAsia="zh-CN"/>
              </w:rPr>
            </w:pPr>
            <w:r>
              <w:rPr>
                <w:rFonts w:cs="Arial"/>
                <w:sz w:val="19"/>
                <w:szCs w:val="19"/>
                <w:lang w:eastAsia="zh-CN"/>
              </w:rPr>
              <w:t>27 September 2021 in respect of the 2023 Bonds and 2026 Bonds;</w:t>
            </w:r>
          </w:p>
          <w:p w14:paraId="72E76914" w14:textId="7BB5A816" w:rsidR="001D7255" w:rsidRPr="00200547" w:rsidRDefault="00B368AD" w:rsidP="001751D7">
            <w:pPr>
              <w:pStyle w:val="Body"/>
              <w:spacing w:before="40" w:after="40" w:line="240" w:lineRule="auto"/>
              <w:rPr>
                <w:rFonts w:cs="Arial"/>
                <w:sz w:val="19"/>
                <w:szCs w:val="19"/>
                <w:lang w:eastAsia="zh-CN"/>
              </w:rPr>
            </w:pPr>
            <w:r>
              <w:rPr>
                <w:rFonts w:cs="Arial"/>
                <w:sz w:val="19"/>
                <w:szCs w:val="19"/>
                <w:lang w:eastAsia="zh-CN"/>
              </w:rPr>
              <w:t>12 December 2016 in respect of the 2031 Bonds</w:t>
            </w:r>
            <w:r w:rsidR="00C8363C">
              <w:rPr>
                <w:rFonts w:cs="Arial"/>
                <w:sz w:val="19"/>
                <w:szCs w:val="19"/>
                <w:lang w:eastAsia="zh-CN"/>
              </w:rPr>
              <w:t>.</w:t>
            </w:r>
            <w:r>
              <w:rPr>
                <w:rFonts w:cs="Arial"/>
                <w:sz w:val="19"/>
                <w:szCs w:val="19"/>
                <w:lang w:eastAsia="zh-CN"/>
              </w:rPr>
              <w:t xml:space="preserve"> </w:t>
            </w:r>
          </w:p>
        </w:tc>
      </w:tr>
      <w:tr w:rsidR="001D7255" w:rsidRPr="00200547" w14:paraId="535430E2" w14:textId="77777777" w:rsidTr="006E14CF">
        <w:tc>
          <w:tcPr>
            <w:tcW w:w="3084" w:type="dxa"/>
            <w:shd w:val="clear" w:color="auto" w:fill="auto"/>
          </w:tcPr>
          <w:p w14:paraId="3663A853" w14:textId="21864978" w:rsidR="001D7255" w:rsidRPr="00200547" w:rsidRDefault="001D7255" w:rsidP="001751D7">
            <w:pPr>
              <w:pStyle w:val="Body"/>
              <w:spacing w:before="40" w:after="40" w:line="240" w:lineRule="auto"/>
              <w:jc w:val="left"/>
              <w:rPr>
                <w:rFonts w:cs="Arial"/>
                <w:b/>
                <w:color w:val="000000" w:themeColor="text1"/>
                <w:sz w:val="19"/>
                <w:szCs w:val="19"/>
                <w:lang w:eastAsia="zh-CN"/>
              </w:rPr>
            </w:pPr>
            <w:r w:rsidRPr="00200547">
              <w:rPr>
                <w:rFonts w:cs="Arial"/>
                <w:b/>
                <w:bCs/>
                <w:color w:val="000000" w:themeColor="text1"/>
                <w:sz w:val="19"/>
                <w:szCs w:val="19"/>
                <w:lang w:val="en-GB" w:eastAsia="zh-CN"/>
              </w:rPr>
              <w:t xml:space="preserve">Original </w:t>
            </w:r>
            <w:r w:rsidR="00C36BBC">
              <w:rPr>
                <w:rFonts w:cs="Arial"/>
                <w:b/>
                <w:bCs/>
                <w:color w:val="000000" w:themeColor="text1"/>
                <w:sz w:val="19"/>
                <w:szCs w:val="19"/>
                <w:lang w:val="en-GB" w:eastAsia="zh-CN"/>
              </w:rPr>
              <w:t>2023</w:t>
            </w:r>
            <w:r w:rsidR="002512C2" w:rsidRPr="00200547">
              <w:rPr>
                <w:rFonts w:cs="Arial"/>
                <w:b/>
                <w:bCs/>
                <w:color w:val="000000" w:themeColor="text1"/>
                <w:sz w:val="19"/>
                <w:szCs w:val="19"/>
                <w:lang w:val="en-GB" w:eastAsia="zh-CN"/>
              </w:rPr>
              <w:t xml:space="preserve"> </w:t>
            </w:r>
            <w:r w:rsidRPr="00200547">
              <w:rPr>
                <w:rFonts w:cs="Arial"/>
                <w:b/>
                <w:bCs/>
                <w:color w:val="000000" w:themeColor="text1"/>
                <w:sz w:val="19"/>
                <w:szCs w:val="19"/>
                <w:lang w:val="en-GB" w:eastAsia="zh-CN"/>
              </w:rPr>
              <w:t>Bonds</w:t>
            </w:r>
          </w:p>
        </w:tc>
        <w:tc>
          <w:tcPr>
            <w:tcW w:w="6388" w:type="dxa"/>
            <w:shd w:val="clear" w:color="auto" w:fill="auto"/>
          </w:tcPr>
          <w:p w14:paraId="283D50DF" w14:textId="42CC272D" w:rsidR="001D7255" w:rsidRPr="00200547" w:rsidRDefault="001D7255" w:rsidP="001751D7">
            <w:pPr>
              <w:pStyle w:val="Body"/>
              <w:spacing w:before="40" w:after="40" w:line="240" w:lineRule="auto"/>
              <w:rPr>
                <w:rFonts w:cs="Arial"/>
                <w:sz w:val="19"/>
                <w:szCs w:val="19"/>
                <w:lang w:eastAsia="zh-CN"/>
              </w:rPr>
            </w:pPr>
            <w:r w:rsidRPr="00200547">
              <w:rPr>
                <w:rFonts w:cs="Arial"/>
                <w:sz w:val="19"/>
                <w:szCs w:val="19"/>
                <w:lang w:eastAsia="zh-CN"/>
              </w:rPr>
              <w:t>RMB</w:t>
            </w:r>
            <w:r w:rsidR="00E47FB1">
              <w:rPr>
                <w:rFonts w:cs="Arial"/>
                <w:sz w:val="19"/>
                <w:szCs w:val="19"/>
                <w:lang w:eastAsia="zh-CN"/>
              </w:rPr>
              <w:t>9.5</w:t>
            </w:r>
            <w:r w:rsidR="00DF2FD3">
              <w:rPr>
                <w:rFonts w:cs="Arial"/>
                <w:sz w:val="19"/>
                <w:szCs w:val="19"/>
                <w:lang w:eastAsia="zh-CN"/>
              </w:rPr>
              <w:t xml:space="preserve"> </w:t>
            </w:r>
            <w:r w:rsidR="008E05D2">
              <w:rPr>
                <w:rFonts w:cs="Arial"/>
                <w:sz w:val="19"/>
                <w:szCs w:val="19"/>
                <w:lang w:eastAsia="zh-CN"/>
              </w:rPr>
              <w:t>billion</w:t>
            </w:r>
            <w:r w:rsidRPr="00200547">
              <w:rPr>
                <w:rFonts w:cs="Arial"/>
                <w:sz w:val="19"/>
                <w:szCs w:val="19"/>
                <w:lang w:eastAsia="zh-CN"/>
              </w:rPr>
              <w:t xml:space="preserve"> Bonds due </w:t>
            </w:r>
            <w:r w:rsidR="00C36BBC">
              <w:rPr>
                <w:rFonts w:cs="Arial"/>
                <w:sz w:val="19"/>
                <w:szCs w:val="19"/>
                <w:lang w:eastAsia="zh-CN"/>
              </w:rPr>
              <w:t>2023</w:t>
            </w:r>
            <w:r w:rsidR="00114C53" w:rsidRPr="00200547">
              <w:rPr>
                <w:rFonts w:cs="Arial"/>
                <w:sz w:val="19"/>
                <w:szCs w:val="19"/>
                <w:lang w:eastAsia="zh-CN"/>
              </w:rPr>
              <w:t xml:space="preserve"> </w:t>
            </w:r>
            <w:r w:rsidR="00D04F6F">
              <w:rPr>
                <w:rFonts w:cs="Arial"/>
                <w:sz w:val="19"/>
                <w:szCs w:val="19"/>
                <w:lang w:eastAsia="zh-CN"/>
              </w:rPr>
              <w:t xml:space="preserve">with an annual interest rate of </w:t>
            </w:r>
            <w:r w:rsidR="00C36BBC">
              <w:rPr>
                <w:rFonts w:cs="Arial"/>
                <w:sz w:val="19"/>
                <w:szCs w:val="19"/>
                <w:lang w:eastAsia="zh-CN"/>
              </w:rPr>
              <w:t>2.41 per cent.</w:t>
            </w:r>
            <w:r w:rsidR="00D04F6F" w:rsidRPr="00200547">
              <w:rPr>
                <w:rFonts w:cs="Arial"/>
                <w:sz w:val="19"/>
                <w:szCs w:val="19"/>
                <w:lang w:eastAsia="zh-CN"/>
              </w:rPr>
              <w:t xml:space="preserve"> </w:t>
            </w:r>
            <w:r w:rsidRPr="00200547">
              <w:rPr>
                <w:rFonts w:cs="Arial"/>
                <w:sz w:val="19"/>
                <w:szCs w:val="19"/>
                <w:lang w:eastAsia="zh-CN"/>
              </w:rPr>
              <w:t xml:space="preserve">(CMU Instrument No: </w:t>
            </w:r>
            <w:r w:rsidR="00C36BBC">
              <w:rPr>
                <w:rFonts w:eastAsia="SimHei" w:cs="Arial"/>
                <w:sz w:val="19"/>
                <w:szCs w:val="19"/>
                <w:lang w:eastAsia="zh-CN"/>
              </w:rPr>
              <w:t>BCMKFB21002</w:t>
            </w:r>
            <w:r w:rsidRPr="00200547">
              <w:rPr>
                <w:rFonts w:cs="Arial"/>
                <w:sz w:val="19"/>
                <w:szCs w:val="19"/>
                <w:lang w:eastAsia="zh-CN"/>
              </w:rPr>
              <w:t>).</w:t>
            </w:r>
          </w:p>
        </w:tc>
      </w:tr>
      <w:tr w:rsidR="001D7255" w:rsidRPr="00200547" w14:paraId="51B4D288" w14:textId="77777777" w:rsidTr="006E14CF">
        <w:tc>
          <w:tcPr>
            <w:tcW w:w="3084" w:type="dxa"/>
            <w:shd w:val="clear" w:color="auto" w:fill="auto"/>
          </w:tcPr>
          <w:p w14:paraId="5FE43EF1" w14:textId="31E3EDEC" w:rsidR="001D7255" w:rsidRPr="00200547" w:rsidRDefault="001D7255" w:rsidP="001751D7">
            <w:pPr>
              <w:pStyle w:val="Body"/>
              <w:spacing w:before="40" w:after="40" w:line="240" w:lineRule="auto"/>
              <w:jc w:val="left"/>
              <w:rPr>
                <w:rFonts w:cs="Arial"/>
                <w:b/>
                <w:bCs/>
                <w:color w:val="000000" w:themeColor="text1"/>
                <w:sz w:val="19"/>
                <w:szCs w:val="19"/>
                <w:lang w:val="en-GB" w:eastAsia="zh-CN"/>
              </w:rPr>
            </w:pPr>
            <w:r w:rsidRPr="00200547">
              <w:rPr>
                <w:rFonts w:cs="Arial"/>
                <w:b/>
                <w:bCs/>
                <w:color w:val="000000" w:themeColor="text1"/>
                <w:sz w:val="19"/>
                <w:szCs w:val="19"/>
                <w:lang w:val="en-GB" w:eastAsia="zh-CN"/>
              </w:rPr>
              <w:t xml:space="preserve">Original </w:t>
            </w:r>
            <w:r w:rsidR="00F24912">
              <w:rPr>
                <w:rFonts w:cs="Arial"/>
                <w:b/>
                <w:bCs/>
                <w:color w:val="000000" w:themeColor="text1"/>
                <w:sz w:val="19"/>
                <w:szCs w:val="19"/>
                <w:lang w:val="en-GB" w:eastAsia="zh-CN"/>
              </w:rPr>
              <w:t>2026</w:t>
            </w:r>
            <w:r w:rsidR="00F24912" w:rsidRPr="00200547">
              <w:rPr>
                <w:rFonts w:cs="Arial"/>
                <w:b/>
                <w:bCs/>
                <w:color w:val="000000" w:themeColor="text1"/>
                <w:sz w:val="19"/>
                <w:szCs w:val="19"/>
                <w:lang w:val="en-GB" w:eastAsia="zh-CN"/>
              </w:rPr>
              <w:t xml:space="preserve"> </w:t>
            </w:r>
            <w:r w:rsidRPr="00200547">
              <w:rPr>
                <w:rFonts w:cs="Arial"/>
                <w:b/>
                <w:bCs/>
                <w:color w:val="000000" w:themeColor="text1"/>
                <w:sz w:val="19"/>
                <w:szCs w:val="19"/>
                <w:lang w:val="en-GB" w:eastAsia="zh-CN"/>
              </w:rPr>
              <w:t>Bonds</w:t>
            </w:r>
          </w:p>
        </w:tc>
        <w:tc>
          <w:tcPr>
            <w:tcW w:w="6388" w:type="dxa"/>
            <w:shd w:val="clear" w:color="auto" w:fill="auto"/>
          </w:tcPr>
          <w:p w14:paraId="524F9285" w14:textId="4909C84E" w:rsidR="001D7255" w:rsidRPr="00200547" w:rsidRDefault="001D7255" w:rsidP="001751D7">
            <w:pPr>
              <w:pStyle w:val="Body"/>
              <w:spacing w:before="40" w:after="40" w:line="240" w:lineRule="auto"/>
              <w:rPr>
                <w:rFonts w:cs="Arial"/>
                <w:sz w:val="19"/>
                <w:szCs w:val="19"/>
                <w:lang w:eastAsia="zh-CN"/>
              </w:rPr>
            </w:pPr>
            <w:r w:rsidRPr="00200547">
              <w:rPr>
                <w:rFonts w:cs="Arial"/>
                <w:sz w:val="19"/>
                <w:szCs w:val="19"/>
                <w:lang w:eastAsia="zh-CN"/>
              </w:rPr>
              <w:t>RMB</w:t>
            </w:r>
            <w:r w:rsidR="00820983">
              <w:rPr>
                <w:rFonts w:cs="Arial"/>
                <w:sz w:val="19"/>
                <w:szCs w:val="19"/>
                <w:lang w:eastAsia="zh-CN"/>
              </w:rPr>
              <w:t>2.0</w:t>
            </w:r>
            <w:r w:rsidR="008E05D2">
              <w:rPr>
                <w:rFonts w:cs="Arial"/>
                <w:sz w:val="19"/>
                <w:szCs w:val="19"/>
                <w:lang w:eastAsia="zh-CN"/>
              </w:rPr>
              <w:t xml:space="preserve"> billion</w:t>
            </w:r>
            <w:r w:rsidRPr="00200547">
              <w:rPr>
                <w:rFonts w:cs="Arial"/>
                <w:sz w:val="19"/>
                <w:szCs w:val="19"/>
                <w:lang w:eastAsia="zh-CN"/>
              </w:rPr>
              <w:t xml:space="preserve"> Bonds due </w:t>
            </w:r>
            <w:r w:rsidR="00820983">
              <w:rPr>
                <w:rFonts w:cs="Arial"/>
                <w:sz w:val="19"/>
                <w:szCs w:val="19"/>
                <w:lang w:eastAsia="zh-CN"/>
              </w:rPr>
              <w:t>2026</w:t>
            </w:r>
            <w:r w:rsidR="00114C53" w:rsidRPr="00200547">
              <w:rPr>
                <w:rFonts w:cs="Arial"/>
                <w:sz w:val="19"/>
                <w:szCs w:val="19"/>
                <w:lang w:eastAsia="zh-CN"/>
              </w:rPr>
              <w:t xml:space="preserve"> </w:t>
            </w:r>
            <w:r w:rsidR="00D04F6F">
              <w:rPr>
                <w:rFonts w:cs="Arial"/>
                <w:sz w:val="19"/>
                <w:szCs w:val="19"/>
                <w:lang w:eastAsia="zh-CN"/>
              </w:rPr>
              <w:t xml:space="preserve">with an annual interest rate of </w:t>
            </w:r>
            <w:r w:rsidR="006E12ED">
              <w:rPr>
                <w:rFonts w:cs="Arial"/>
                <w:sz w:val="19"/>
                <w:szCs w:val="19"/>
                <w:lang w:eastAsia="zh-CN"/>
              </w:rPr>
              <w:t>2.50</w:t>
            </w:r>
            <w:r w:rsidR="00C36BBC">
              <w:rPr>
                <w:rFonts w:cs="Arial"/>
                <w:sz w:val="19"/>
                <w:szCs w:val="19"/>
                <w:lang w:eastAsia="zh-CN"/>
              </w:rPr>
              <w:t xml:space="preserve"> per cent.</w:t>
            </w:r>
            <w:r w:rsidR="00D04F6F" w:rsidRPr="00200547">
              <w:rPr>
                <w:rFonts w:cs="Arial"/>
                <w:sz w:val="19"/>
                <w:szCs w:val="19"/>
                <w:lang w:eastAsia="zh-CN"/>
              </w:rPr>
              <w:t xml:space="preserve"> </w:t>
            </w:r>
            <w:r w:rsidRPr="00200547">
              <w:rPr>
                <w:rFonts w:cs="Arial"/>
                <w:sz w:val="19"/>
                <w:szCs w:val="19"/>
                <w:lang w:eastAsia="zh-CN"/>
              </w:rPr>
              <w:t xml:space="preserve">(CMU Instrument No: </w:t>
            </w:r>
            <w:r w:rsidR="00C36BBC">
              <w:rPr>
                <w:rFonts w:eastAsia="SimHei" w:cs="Arial"/>
                <w:sz w:val="19"/>
                <w:szCs w:val="19"/>
                <w:lang w:eastAsia="zh-CN"/>
              </w:rPr>
              <w:t>BCMKFB21003</w:t>
            </w:r>
            <w:r w:rsidRPr="00200547">
              <w:rPr>
                <w:rFonts w:cs="Arial"/>
                <w:sz w:val="19"/>
                <w:szCs w:val="19"/>
                <w:lang w:eastAsia="zh-CN"/>
              </w:rPr>
              <w:t>).</w:t>
            </w:r>
          </w:p>
        </w:tc>
      </w:tr>
      <w:tr w:rsidR="00F24912" w:rsidRPr="00200547" w14:paraId="259646D3" w14:textId="77777777" w:rsidTr="006E14CF">
        <w:tc>
          <w:tcPr>
            <w:tcW w:w="3084" w:type="dxa"/>
            <w:shd w:val="clear" w:color="auto" w:fill="auto"/>
          </w:tcPr>
          <w:p w14:paraId="5A2B2571" w14:textId="1C266429" w:rsidR="00F24912" w:rsidRPr="00200547" w:rsidRDefault="00F24912" w:rsidP="001751D7">
            <w:pPr>
              <w:pStyle w:val="Body"/>
              <w:spacing w:before="40" w:after="40" w:line="240" w:lineRule="auto"/>
              <w:jc w:val="left"/>
              <w:rPr>
                <w:rFonts w:cs="Arial"/>
                <w:b/>
                <w:bCs/>
                <w:color w:val="000000" w:themeColor="text1"/>
                <w:sz w:val="19"/>
                <w:szCs w:val="19"/>
                <w:lang w:val="en-GB" w:eastAsia="zh-CN"/>
              </w:rPr>
            </w:pPr>
            <w:r>
              <w:rPr>
                <w:rFonts w:cs="Arial"/>
                <w:b/>
                <w:bCs/>
                <w:color w:val="000000" w:themeColor="text1"/>
                <w:sz w:val="19"/>
                <w:szCs w:val="19"/>
                <w:lang w:val="en-GB" w:eastAsia="zh-CN"/>
              </w:rPr>
              <w:t xml:space="preserve">Original 2031 Bonds </w:t>
            </w:r>
          </w:p>
        </w:tc>
        <w:tc>
          <w:tcPr>
            <w:tcW w:w="6388" w:type="dxa"/>
            <w:shd w:val="clear" w:color="auto" w:fill="auto"/>
          </w:tcPr>
          <w:p w14:paraId="4448529E" w14:textId="16B345AD" w:rsidR="00F24912" w:rsidRPr="00200547" w:rsidRDefault="00F24912" w:rsidP="001751D7">
            <w:pPr>
              <w:pStyle w:val="Body"/>
              <w:spacing w:before="40" w:after="40" w:line="240" w:lineRule="auto"/>
              <w:rPr>
                <w:rFonts w:cs="Arial"/>
                <w:sz w:val="19"/>
                <w:szCs w:val="19"/>
                <w:lang w:eastAsia="zh-CN"/>
              </w:rPr>
            </w:pPr>
            <w:r>
              <w:rPr>
                <w:rFonts w:cs="Arial"/>
                <w:sz w:val="19"/>
                <w:szCs w:val="19"/>
                <w:lang w:eastAsia="zh-CN"/>
              </w:rPr>
              <w:t>RMB1.</w:t>
            </w:r>
            <w:r w:rsidR="002D4C87">
              <w:rPr>
                <w:rFonts w:cs="Arial"/>
                <w:sz w:val="19"/>
                <w:szCs w:val="19"/>
                <w:lang w:eastAsia="zh-CN"/>
              </w:rPr>
              <w:t>5</w:t>
            </w:r>
            <w:r>
              <w:rPr>
                <w:rFonts w:cs="Arial"/>
                <w:sz w:val="19"/>
                <w:szCs w:val="19"/>
                <w:lang w:eastAsia="zh-CN"/>
              </w:rPr>
              <w:t xml:space="preserve"> billion Bonds due 2031 with an annual interest rate of 4.15 per cent. (CMU Instrument No: BCMKFB16023). </w:t>
            </w:r>
          </w:p>
        </w:tc>
      </w:tr>
      <w:tr w:rsidR="008710B6" w:rsidRPr="00200547" w14:paraId="5A5A2765" w14:textId="77777777" w:rsidTr="006E14CF">
        <w:tc>
          <w:tcPr>
            <w:tcW w:w="3084" w:type="dxa"/>
            <w:shd w:val="clear" w:color="auto" w:fill="auto"/>
          </w:tcPr>
          <w:p w14:paraId="20FD798F" w14:textId="77777777" w:rsidR="008710B6" w:rsidRPr="00200547" w:rsidRDefault="008710B6" w:rsidP="00D23F4A">
            <w:pPr>
              <w:pStyle w:val="Body"/>
              <w:spacing w:before="40" w:after="40" w:line="240" w:lineRule="auto"/>
              <w:jc w:val="left"/>
              <w:rPr>
                <w:rFonts w:eastAsia="SimHei" w:cs="Arial"/>
                <w:b/>
                <w:sz w:val="19"/>
                <w:szCs w:val="19"/>
                <w:lang w:eastAsia="zh-TW"/>
              </w:rPr>
            </w:pPr>
            <w:r w:rsidRPr="00200547">
              <w:rPr>
                <w:rFonts w:eastAsia="SimHei" w:cs="Arial"/>
                <w:b/>
                <w:sz w:val="19"/>
                <w:szCs w:val="19"/>
                <w:lang w:eastAsia="zh-TW"/>
              </w:rPr>
              <w:t>Bonds</w:t>
            </w:r>
          </w:p>
        </w:tc>
        <w:tc>
          <w:tcPr>
            <w:tcW w:w="6388" w:type="dxa"/>
            <w:shd w:val="clear" w:color="auto" w:fill="auto"/>
          </w:tcPr>
          <w:p w14:paraId="372D27BC" w14:textId="77777777" w:rsidR="008710B6" w:rsidRPr="00200547" w:rsidDel="008710B6" w:rsidRDefault="008710B6" w:rsidP="008710B6">
            <w:pPr>
              <w:pStyle w:val="Body"/>
              <w:spacing w:before="40" w:after="40" w:line="240" w:lineRule="auto"/>
              <w:jc w:val="left"/>
              <w:rPr>
                <w:rFonts w:cs="Arial"/>
                <w:sz w:val="19"/>
                <w:szCs w:val="19"/>
                <w:lang w:eastAsia="zh-CN"/>
              </w:rPr>
            </w:pPr>
            <w:r w:rsidRPr="00200547">
              <w:rPr>
                <w:rFonts w:cs="Arial"/>
                <w:sz w:val="19"/>
                <w:szCs w:val="19"/>
                <w:lang w:eastAsia="zh-CN"/>
              </w:rPr>
              <w:t>Original Bonds and Additional Bonds.</w:t>
            </w:r>
          </w:p>
        </w:tc>
      </w:tr>
      <w:tr w:rsidR="007F3685" w:rsidRPr="00200547" w14:paraId="076BCEEE" w14:textId="77777777" w:rsidTr="006E14CF">
        <w:tc>
          <w:tcPr>
            <w:tcW w:w="3084" w:type="dxa"/>
            <w:shd w:val="clear" w:color="auto" w:fill="auto"/>
          </w:tcPr>
          <w:p w14:paraId="4FA62E33" w14:textId="175639E5" w:rsidR="007F3685" w:rsidRPr="00200547" w:rsidRDefault="00C36BBC" w:rsidP="00D23F4A">
            <w:pPr>
              <w:pStyle w:val="Body"/>
              <w:spacing w:before="40" w:after="40" w:line="240" w:lineRule="auto"/>
              <w:jc w:val="left"/>
              <w:rPr>
                <w:rFonts w:eastAsia="SimHei" w:cs="Arial"/>
                <w:b/>
                <w:sz w:val="19"/>
                <w:szCs w:val="19"/>
                <w:lang w:eastAsia="zh-TW"/>
              </w:rPr>
            </w:pPr>
            <w:r>
              <w:rPr>
                <w:rFonts w:eastAsia="SimHei" w:cs="Arial"/>
                <w:b/>
                <w:sz w:val="19"/>
                <w:szCs w:val="19"/>
                <w:lang w:eastAsia="zh-TW"/>
              </w:rPr>
              <w:t>2023</w:t>
            </w:r>
            <w:r w:rsidR="002512C2">
              <w:rPr>
                <w:rFonts w:eastAsia="SimHei" w:cs="Arial"/>
                <w:b/>
                <w:sz w:val="19"/>
                <w:szCs w:val="19"/>
                <w:lang w:eastAsia="zh-TW"/>
              </w:rPr>
              <w:t xml:space="preserve"> </w:t>
            </w:r>
            <w:r w:rsidR="007F3685">
              <w:rPr>
                <w:rFonts w:eastAsia="SimHei" w:cs="Arial"/>
                <w:b/>
                <w:sz w:val="19"/>
                <w:szCs w:val="19"/>
                <w:lang w:eastAsia="zh-TW"/>
              </w:rPr>
              <w:t>Bonds</w:t>
            </w:r>
          </w:p>
        </w:tc>
        <w:tc>
          <w:tcPr>
            <w:tcW w:w="6388" w:type="dxa"/>
            <w:shd w:val="clear" w:color="auto" w:fill="auto"/>
          </w:tcPr>
          <w:p w14:paraId="35473292" w14:textId="7A74C5F1" w:rsidR="007F3685" w:rsidRPr="00200547" w:rsidRDefault="007F3685" w:rsidP="008710B6">
            <w:pPr>
              <w:pStyle w:val="Body"/>
              <w:spacing w:before="40" w:after="40" w:line="240" w:lineRule="auto"/>
              <w:jc w:val="left"/>
              <w:rPr>
                <w:rFonts w:cs="Arial"/>
                <w:sz w:val="19"/>
                <w:szCs w:val="19"/>
                <w:lang w:eastAsia="zh-CN"/>
              </w:rPr>
            </w:pPr>
            <w:r>
              <w:rPr>
                <w:rFonts w:cs="Arial"/>
                <w:sz w:val="19"/>
                <w:szCs w:val="19"/>
                <w:lang w:eastAsia="zh-CN"/>
              </w:rPr>
              <w:t xml:space="preserve">Original </w:t>
            </w:r>
            <w:r w:rsidR="00C36BBC">
              <w:rPr>
                <w:rFonts w:cs="Arial"/>
                <w:sz w:val="19"/>
                <w:szCs w:val="19"/>
                <w:lang w:eastAsia="zh-CN"/>
              </w:rPr>
              <w:t>2023</w:t>
            </w:r>
            <w:r w:rsidR="00114C53">
              <w:rPr>
                <w:rFonts w:cs="Arial"/>
                <w:sz w:val="19"/>
                <w:szCs w:val="19"/>
                <w:lang w:eastAsia="zh-CN"/>
              </w:rPr>
              <w:t xml:space="preserve"> </w:t>
            </w:r>
            <w:r>
              <w:rPr>
                <w:rFonts w:cs="Arial"/>
                <w:sz w:val="19"/>
                <w:szCs w:val="19"/>
                <w:lang w:eastAsia="zh-CN"/>
              </w:rPr>
              <w:t xml:space="preserve">Bonds and Additional </w:t>
            </w:r>
            <w:r w:rsidR="00C36BBC">
              <w:rPr>
                <w:rFonts w:cs="Arial"/>
                <w:sz w:val="19"/>
                <w:szCs w:val="19"/>
                <w:lang w:eastAsia="zh-CN"/>
              </w:rPr>
              <w:t>2023</w:t>
            </w:r>
            <w:r w:rsidR="00114C53">
              <w:rPr>
                <w:rFonts w:cs="Arial"/>
                <w:sz w:val="19"/>
                <w:szCs w:val="19"/>
                <w:lang w:eastAsia="zh-CN"/>
              </w:rPr>
              <w:t xml:space="preserve"> </w:t>
            </w:r>
            <w:r>
              <w:rPr>
                <w:rFonts w:cs="Arial"/>
                <w:sz w:val="19"/>
                <w:szCs w:val="19"/>
                <w:lang w:eastAsia="zh-CN"/>
              </w:rPr>
              <w:t>Bonds</w:t>
            </w:r>
            <w:r w:rsidR="00B265E0">
              <w:rPr>
                <w:rFonts w:cs="Arial"/>
                <w:sz w:val="19"/>
                <w:szCs w:val="19"/>
                <w:lang w:eastAsia="zh-CN"/>
              </w:rPr>
              <w:t>.</w:t>
            </w:r>
          </w:p>
        </w:tc>
      </w:tr>
      <w:tr w:rsidR="007F3685" w:rsidRPr="00200547" w14:paraId="3133B096" w14:textId="77777777" w:rsidTr="006E14CF">
        <w:tc>
          <w:tcPr>
            <w:tcW w:w="3084" w:type="dxa"/>
            <w:shd w:val="clear" w:color="auto" w:fill="auto"/>
          </w:tcPr>
          <w:p w14:paraId="4DEE234D" w14:textId="6CDAA35D" w:rsidR="007F3685" w:rsidRPr="00200547" w:rsidRDefault="006E12ED" w:rsidP="00D23F4A">
            <w:pPr>
              <w:pStyle w:val="Body"/>
              <w:spacing w:before="40" w:after="40" w:line="240" w:lineRule="auto"/>
              <w:jc w:val="left"/>
              <w:rPr>
                <w:rFonts w:eastAsia="SimHei" w:cs="Arial"/>
                <w:b/>
                <w:sz w:val="19"/>
                <w:szCs w:val="19"/>
                <w:lang w:eastAsia="zh-TW"/>
              </w:rPr>
            </w:pPr>
            <w:r>
              <w:rPr>
                <w:rFonts w:eastAsia="SimHei" w:cs="Arial"/>
                <w:b/>
                <w:sz w:val="19"/>
                <w:szCs w:val="19"/>
                <w:lang w:eastAsia="zh-TW"/>
              </w:rPr>
              <w:t xml:space="preserve">2026 </w:t>
            </w:r>
            <w:r w:rsidR="007F3685">
              <w:rPr>
                <w:rFonts w:eastAsia="SimHei" w:cs="Arial"/>
                <w:b/>
                <w:sz w:val="19"/>
                <w:szCs w:val="19"/>
                <w:lang w:eastAsia="zh-TW"/>
              </w:rPr>
              <w:t>Bonds</w:t>
            </w:r>
          </w:p>
        </w:tc>
        <w:tc>
          <w:tcPr>
            <w:tcW w:w="6388" w:type="dxa"/>
            <w:shd w:val="clear" w:color="auto" w:fill="auto"/>
          </w:tcPr>
          <w:p w14:paraId="43CD2C92" w14:textId="6DBF3FF9" w:rsidR="007F3685" w:rsidRPr="00200547" w:rsidRDefault="007F3685" w:rsidP="008710B6">
            <w:pPr>
              <w:pStyle w:val="Body"/>
              <w:spacing w:before="40" w:after="40" w:line="240" w:lineRule="auto"/>
              <w:jc w:val="left"/>
              <w:rPr>
                <w:rFonts w:cs="Arial"/>
                <w:sz w:val="19"/>
                <w:szCs w:val="19"/>
                <w:lang w:eastAsia="zh-CN"/>
              </w:rPr>
            </w:pPr>
            <w:r>
              <w:rPr>
                <w:rFonts w:cs="Arial"/>
                <w:sz w:val="19"/>
                <w:szCs w:val="19"/>
                <w:lang w:eastAsia="zh-CN"/>
              </w:rPr>
              <w:t xml:space="preserve">Original </w:t>
            </w:r>
            <w:r w:rsidR="006E12ED">
              <w:rPr>
                <w:rFonts w:cs="Arial"/>
                <w:sz w:val="19"/>
                <w:szCs w:val="19"/>
                <w:lang w:eastAsia="zh-CN"/>
              </w:rPr>
              <w:t xml:space="preserve">2026 </w:t>
            </w:r>
            <w:r>
              <w:rPr>
                <w:rFonts w:cs="Arial"/>
                <w:sz w:val="19"/>
                <w:szCs w:val="19"/>
                <w:lang w:eastAsia="zh-CN"/>
              </w:rPr>
              <w:t xml:space="preserve">Bonds and Additional </w:t>
            </w:r>
            <w:r w:rsidR="006E12ED">
              <w:rPr>
                <w:rFonts w:cs="Arial"/>
                <w:sz w:val="19"/>
                <w:szCs w:val="19"/>
                <w:lang w:eastAsia="zh-CN"/>
              </w:rPr>
              <w:t xml:space="preserve">2026 </w:t>
            </w:r>
            <w:r>
              <w:rPr>
                <w:rFonts w:cs="Arial"/>
                <w:sz w:val="19"/>
                <w:szCs w:val="19"/>
                <w:lang w:eastAsia="zh-CN"/>
              </w:rPr>
              <w:t>Bonds</w:t>
            </w:r>
            <w:r w:rsidR="00B265E0">
              <w:rPr>
                <w:rFonts w:cs="Arial"/>
                <w:sz w:val="19"/>
                <w:szCs w:val="19"/>
                <w:lang w:eastAsia="zh-CN"/>
              </w:rPr>
              <w:t>.</w:t>
            </w:r>
          </w:p>
        </w:tc>
      </w:tr>
      <w:tr w:rsidR="00F43CC8" w:rsidRPr="00200547" w14:paraId="565F9F61" w14:textId="77777777" w:rsidTr="006E14CF">
        <w:tc>
          <w:tcPr>
            <w:tcW w:w="3084" w:type="dxa"/>
            <w:shd w:val="clear" w:color="auto" w:fill="auto"/>
          </w:tcPr>
          <w:p w14:paraId="5C72AA12" w14:textId="4CCF6286" w:rsidR="00F43CC8" w:rsidDel="006E12ED" w:rsidRDefault="00F43CC8" w:rsidP="00D23F4A">
            <w:pPr>
              <w:pStyle w:val="Body"/>
              <w:spacing w:before="40" w:after="40" w:line="240" w:lineRule="auto"/>
              <w:jc w:val="left"/>
              <w:rPr>
                <w:rFonts w:eastAsia="SimHei" w:cs="Arial"/>
                <w:b/>
                <w:sz w:val="19"/>
                <w:szCs w:val="19"/>
                <w:lang w:eastAsia="zh-TW"/>
              </w:rPr>
            </w:pPr>
            <w:r>
              <w:rPr>
                <w:rFonts w:eastAsia="SimHei" w:cs="Arial"/>
                <w:b/>
                <w:sz w:val="19"/>
                <w:szCs w:val="19"/>
                <w:lang w:eastAsia="zh-TW"/>
              </w:rPr>
              <w:t>2031 Bonds</w:t>
            </w:r>
          </w:p>
        </w:tc>
        <w:tc>
          <w:tcPr>
            <w:tcW w:w="6388" w:type="dxa"/>
            <w:shd w:val="clear" w:color="auto" w:fill="auto"/>
          </w:tcPr>
          <w:p w14:paraId="35F36B14" w14:textId="690F5BC0" w:rsidR="00F43CC8" w:rsidRDefault="00F43CC8" w:rsidP="008710B6">
            <w:pPr>
              <w:pStyle w:val="Body"/>
              <w:spacing w:before="40" w:after="40" w:line="240" w:lineRule="auto"/>
              <w:jc w:val="left"/>
              <w:rPr>
                <w:rFonts w:cs="Arial"/>
                <w:sz w:val="19"/>
                <w:szCs w:val="19"/>
                <w:lang w:eastAsia="zh-CN"/>
              </w:rPr>
            </w:pPr>
            <w:r>
              <w:rPr>
                <w:rFonts w:cs="Arial"/>
                <w:sz w:val="19"/>
                <w:szCs w:val="19"/>
                <w:lang w:eastAsia="zh-CN"/>
              </w:rPr>
              <w:t xml:space="preserve">Original 2031 Bonds and Additional 2031 Bonds. </w:t>
            </w:r>
          </w:p>
        </w:tc>
      </w:tr>
      <w:tr w:rsidR="007E3C4E" w:rsidRPr="00200547" w14:paraId="657844F6" w14:textId="77777777" w:rsidTr="006E14CF">
        <w:tc>
          <w:tcPr>
            <w:tcW w:w="3084" w:type="dxa"/>
            <w:shd w:val="clear" w:color="auto" w:fill="auto"/>
          </w:tcPr>
          <w:p w14:paraId="270A3246"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rPr>
              <w:t>Central People’s Government</w:t>
            </w:r>
          </w:p>
        </w:tc>
        <w:tc>
          <w:tcPr>
            <w:tcW w:w="6388" w:type="dxa"/>
            <w:shd w:val="clear" w:color="auto" w:fill="auto"/>
          </w:tcPr>
          <w:p w14:paraId="4D3781B8"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 xml:space="preserve">the </w:t>
            </w:r>
            <w:r w:rsidRPr="00200547">
              <w:rPr>
                <w:rFonts w:cs="Arial"/>
                <w:sz w:val="19"/>
                <w:szCs w:val="19"/>
              </w:rPr>
              <w:t>Central People’s Government</w:t>
            </w:r>
            <w:r w:rsidRPr="00200547">
              <w:rPr>
                <w:rFonts w:cs="Arial"/>
                <w:sz w:val="19"/>
                <w:szCs w:val="19"/>
                <w:lang w:eastAsia="zh-CN"/>
              </w:rPr>
              <w:t xml:space="preserve"> of the People’s Republic of China.</w:t>
            </w:r>
          </w:p>
        </w:tc>
      </w:tr>
      <w:tr w:rsidR="007E3C4E" w:rsidRPr="00200547" w14:paraId="6A8CA73E" w14:textId="77777777" w:rsidTr="006E14CF">
        <w:tc>
          <w:tcPr>
            <w:tcW w:w="3084" w:type="dxa"/>
            <w:shd w:val="clear" w:color="auto" w:fill="auto"/>
          </w:tcPr>
          <w:p w14:paraId="51FA7865"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Ministry of Finance</w:t>
            </w:r>
          </w:p>
        </w:tc>
        <w:tc>
          <w:tcPr>
            <w:tcW w:w="6388" w:type="dxa"/>
            <w:shd w:val="clear" w:color="auto" w:fill="auto"/>
          </w:tcPr>
          <w:p w14:paraId="10E98B2B"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the Ministry of Finance of the People’s Republic of China.</w:t>
            </w:r>
          </w:p>
        </w:tc>
      </w:tr>
      <w:tr w:rsidR="007E3C4E" w:rsidRPr="00200547" w14:paraId="4240209B" w14:textId="77777777" w:rsidTr="006E14CF">
        <w:tc>
          <w:tcPr>
            <w:tcW w:w="3084" w:type="dxa"/>
            <w:shd w:val="clear" w:color="auto" w:fill="auto"/>
          </w:tcPr>
          <w:p w14:paraId="30F8DF53"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Operator</w:t>
            </w:r>
          </w:p>
        </w:tc>
        <w:tc>
          <w:tcPr>
            <w:tcW w:w="6388" w:type="dxa"/>
            <w:shd w:val="clear" w:color="auto" w:fill="auto"/>
          </w:tcPr>
          <w:p w14:paraId="569C38E9"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 xml:space="preserve">the Hong Kong Monetary Authority (the system administrator and service provider of the CMU and CMU BID). </w:t>
            </w:r>
          </w:p>
        </w:tc>
      </w:tr>
      <w:tr w:rsidR="007E3C4E" w:rsidRPr="00200547" w14:paraId="3747E52D" w14:textId="77777777" w:rsidTr="006E14CF">
        <w:tc>
          <w:tcPr>
            <w:tcW w:w="3084" w:type="dxa"/>
            <w:shd w:val="clear" w:color="auto" w:fill="auto"/>
          </w:tcPr>
          <w:p w14:paraId="312FAB9B"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CMU</w:t>
            </w:r>
          </w:p>
        </w:tc>
        <w:tc>
          <w:tcPr>
            <w:tcW w:w="6388" w:type="dxa"/>
            <w:shd w:val="clear" w:color="auto" w:fill="auto"/>
          </w:tcPr>
          <w:p w14:paraId="0CD73639"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the Central Moneymarkets Unit operated by the HKMA.</w:t>
            </w:r>
          </w:p>
        </w:tc>
      </w:tr>
      <w:tr w:rsidR="007E3C4E" w:rsidRPr="00200547" w14:paraId="491BD8DA" w14:textId="77777777" w:rsidTr="006E14CF">
        <w:tc>
          <w:tcPr>
            <w:tcW w:w="3084" w:type="dxa"/>
            <w:shd w:val="clear" w:color="auto" w:fill="auto"/>
          </w:tcPr>
          <w:p w14:paraId="5C2FB93A"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CMU BID</w:t>
            </w:r>
          </w:p>
        </w:tc>
        <w:tc>
          <w:tcPr>
            <w:tcW w:w="6388" w:type="dxa"/>
            <w:shd w:val="clear" w:color="auto" w:fill="auto"/>
          </w:tcPr>
          <w:p w14:paraId="2DE1C3A8"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 xml:space="preserve">the CMU BID Service operated by the HKMA. </w:t>
            </w:r>
          </w:p>
        </w:tc>
      </w:tr>
      <w:tr w:rsidR="007E3C4E" w:rsidRPr="00200547" w14:paraId="7EE2CB5E" w14:textId="77777777" w:rsidTr="006E14CF">
        <w:tc>
          <w:tcPr>
            <w:tcW w:w="3084" w:type="dxa"/>
            <w:shd w:val="clear" w:color="auto" w:fill="auto"/>
          </w:tcPr>
          <w:p w14:paraId="4C5AEE59"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CMU BID Conditions</w:t>
            </w:r>
          </w:p>
        </w:tc>
        <w:tc>
          <w:tcPr>
            <w:tcW w:w="6388" w:type="dxa"/>
            <w:shd w:val="clear" w:color="auto" w:fill="auto"/>
          </w:tcPr>
          <w:p w14:paraId="5776AD4A"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Applicable Terms and Conditions of CMU BID issued by the HKMA as the system administrator and service provider of the CMU BID, as amended from time to time.</w:t>
            </w:r>
          </w:p>
        </w:tc>
      </w:tr>
      <w:tr w:rsidR="007E3C4E" w:rsidRPr="00200547" w14:paraId="363D98AD" w14:textId="77777777" w:rsidTr="006E14CF">
        <w:tc>
          <w:tcPr>
            <w:tcW w:w="3084" w:type="dxa"/>
            <w:shd w:val="clear" w:color="auto" w:fill="auto"/>
          </w:tcPr>
          <w:p w14:paraId="5DA0CD08"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Operating Procedures</w:t>
            </w:r>
          </w:p>
        </w:tc>
        <w:tc>
          <w:tcPr>
            <w:tcW w:w="6388" w:type="dxa"/>
            <w:shd w:val="clear" w:color="auto" w:fill="auto"/>
          </w:tcPr>
          <w:p w14:paraId="7CE69DB8"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 xml:space="preserve">has the same meaning ascribed to it in the CMU BID Conditions. </w:t>
            </w:r>
          </w:p>
        </w:tc>
      </w:tr>
      <w:tr w:rsidR="007E3C4E" w:rsidRPr="00200547" w14:paraId="7D5162A3" w14:textId="77777777" w:rsidTr="006E14CF">
        <w:tc>
          <w:tcPr>
            <w:tcW w:w="3084" w:type="dxa"/>
            <w:shd w:val="clear" w:color="auto" w:fill="auto"/>
          </w:tcPr>
          <w:p w14:paraId="7416EFFF"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RMB RTGS System</w:t>
            </w:r>
          </w:p>
        </w:tc>
        <w:tc>
          <w:tcPr>
            <w:tcW w:w="6388" w:type="dxa"/>
            <w:shd w:val="clear" w:color="auto" w:fill="auto"/>
          </w:tcPr>
          <w:p w14:paraId="2F0210F5"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the RMB Real Time Gross Settlement System operated by the Hong Kong Interbank Clearing Limited as the system administrator and service provider, which is linked to the CMU for settlement of Bonds on a delivery versus payment (“</w:t>
            </w:r>
            <w:r w:rsidRPr="00200547">
              <w:rPr>
                <w:rFonts w:eastAsia="SimHei" w:cs="Arial"/>
                <w:b/>
                <w:sz w:val="19"/>
                <w:szCs w:val="19"/>
                <w:lang w:eastAsia="zh-CN"/>
              </w:rPr>
              <w:t>DvP</w:t>
            </w:r>
            <w:r w:rsidRPr="00200547">
              <w:rPr>
                <w:rFonts w:cs="Arial"/>
                <w:sz w:val="19"/>
                <w:szCs w:val="19"/>
                <w:lang w:eastAsia="zh-CN"/>
              </w:rPr>
              <w:t>”) basis.</w:t>
            </w:r>
          </w:p>
        </w:tc>
      </w:tr>
      <w:tr w:rsidR="007E3C4E" w:rsidRPr="00200547" w14:paraId="1DA2246E" w14:textId="77777777" w:rsidTr="006E14CF">
        <w:tc>
          <w:tcPr>
            <w:tcW w:w="3084" w:type="dxa"/>
            <w:shd w:val="clear" w:color="auto" w:fill="auto"/>
          </w:tcPr>
          <w:p w14:paraId="36420D0A"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Settlement Account</w:t>
            </w:r>
          </w:p>
        </w:tc>
        <w:tc>
          <w:tcPr>
            <w:tcW w:w="6388" w:type="dxa"/>
            <w:shd w:val="clear" w:color="auto" w:fill="auto"/>
          </w:tcPr>
          <w:p w14:paraId="1EFAFBFF"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has the same meaning ascribed to it in the CMU BID Conditions.</w:t>
            </w:r>
          </w:p>
        </w:tc>
      </w:tr>
      <w:tr w:rsidR="007E3C4E" w:rsidRPr="00200547" w14:paraId="0EE0AFCA" w14:textId="77777777" w:rsidTr="006E14CF">
        <w:tc>
          <w:tcPr>
            <w:tcW w:w="3084" w:type="dxa"/>
            <w:shd w:val="clear" w:color="auto" w:fill="auto"/>
          </w:tcPr>
          <w:p w14:paraId="705C4BAD"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Tender Date</w:t>
            </w:r>
          </w:p>
        </w:tc>
        <w:tc>
          <w:tcPr>
            <w:tcW w:w="6388" w:type="dxa"/>
            <w:shd w:val="clear" w:color="auto" w:fill="auto"/>
          </w:tcPr>
          <w:p w14:paraId="1FD02323" w14:textId="4DDF7B6B" w:rsidR="00505294" w:rsidRPr="001D7255" w:rsidRDefault="00F43CC8" w:rsidP="00FA79ED">
            <w:pPr>
              <w:pStyle w:val="Body"/>
              <w:spacing w:before="40" w:after="40" w:line="240" w:lineRule="auto"/>
              <w:rPr>
                <w:rFonts w:eastAsia="SimHei" w:cs="Arial"/>
                <w:sz w:val="19"/>
                <w:szCs w:val="19"/>
                <w:lang w:eastAsia="zh-TW"/>
              </w:rPr>
            </w:pPr>
            <w:r>
              <w:rPr>
                <w:rFonts w:eastAsia="SimHei" w:cs="Arial"/>
                <w:sz w:val="19"/>
                <w:szCs w:val="19"/>
                <w:lang w:eastAsia="zh-TW"/>
              </w:rPr>
              <w:t xml:space="preserve">17 </w:t>
            </w:r>
            <w:r w:rsidR="00334D95">
              <w:rPr>
                <w:rFonts w:eastAsia="SimHei" w:cs="Arial"/>
                <w:sz w:val="19"/>
                <w:szCs w:val="19"/>
                <w:lang w:eastAsia="zh-TW"/>
              </w:rPr>
              <w:t>November</w:t>
            </w:r>
            <w:r>
              <w:rPr>
                <w:rFonts w:eastAsia="SimHei" w:cs="Arial"/>
                <w:sz w:val="19"/>
                <w:szCs w:val="19"/>
                <w:lang w:eastAsia="zh-TW"/>
              </w:rPr>
              <w:t xml:space="preserve"> 2021</w:t>
            </w:r>
            <w:r w:rsidR="00B56ABC" w:rsidRPr="00200547">
              <w:rPr>
                <w:rFonts w:cs="Arial"/>
                <w:sz w:val="19"/>
                <w:szCs w:val="19"/>
                <w:lang w:eastAsia="zh-CN"/>
              </w:rPr>
              <w:t xml:space="preserve"> </w:t>
            </w:r>
            <w:r w:rsidR="00505294" w:rsidRPr="00200547">
              <w:rPr>
                <w:rFonts w:cs="Arial"/>
                <w:sz w:val="19"/>
                <w:szCs w:val="19"/>
                <w:lang w:eastAsia="zh-CN"/>
              </w:rPr>
              <w:t xml:space="preserve">or such other Tender Business </w:t>
            </w:r>
            <w:r w:rsidR="004B45E8" w:rsidRPr="00200547">
              <w:rPr>
                <w:rFonts w:cs="Arial"/>
                <w:sz w:val="19"/>
                <w:szCs w:val="19"/>
                <w:lang w:eastAsia="zh-CN"/>
              </w:rPr>
              <w:t xml:space="preserve">Day </w:t>
            </w:r>
            <w:r w:rsidR="00505294" w:rsidRPr="00200547">
              <w:rPr>
                <w:rFonts w:cs="Arial"/>
                <w:sz w:val="19"/>
                <w:szCs w:val="19"/>
                <w:lang w:eastAsia="zh-CN"/>
              </w:rPr>
              <w:t>determined in accordance with the provisions of this Tender Information Memorandum.</w:t>
            </w:r>
          </w:p>
        </w:tc>
      </w:tr>
      <w:tr w:rsidR="001D7255" w:rsidRPr="00200547" w14:paraId="065D6368" w14:textId="77777777" w:rsidTr="006E14CF">
        <w:tc>
          <w:tcPr>
            <w:tcW w:w="3084" w:type="dxa"/>
            <w:shd w:val="clear" w:color="auto" w:fill="auto"/>
          </w:tcPr>
          <w:p w14:paraId="5CC48317" w14:textId="77777777" w:rsidR="001D7255" w:rsidRPr="00200547" w:rsidRDefault="001D7255" w:rsidP="001751D7">
            <w:pPr>
              <w:pStyle w:val="Body"/>
              <w:spacing w:before="40" w:after="40" w:line="240" w:lineRule="auto"/>
              <w:jc w:val="left"/>
              <w:rPr>
                <w:rFonts w:cs="Arial"/>
                <w:b/>
                <w:sz w:val="19"/>
                <w:szCs w:val="19"/>
              </w:rPr>
            </w:pPr>
            <w:r w:rsidRPr="00200547">
              <w:rPr>
                <w:rFonts w:cs="Arial"/>
                <w:b/>
                <w:sz w:val="19"/>
                <w:szCs w:val="19"/>
              </w:rPr>
              <w:t>Further Issue Date</w:t>
            </w:r>
          </w:p>
        </w:tc>
        <w:tc>
          <w:tcPr>
            <w:tcW w:w="6388" w:type="dxa"/>
            <w:shd w:val="clear" w:color="auto" w:fill="auto"/>
          </w:tcPr>
          <w:p w14:paraId="79E5F7B9" w14:textId="28B1BFAD" w:rsidR="001D7255" w:rsidRPr="00200547" w:rsidRDefault="00F43CC8" w:rsidP="001751D7">
            <w:pPr>
              <w:pStyle w:val="Body"/>
              <w:spacing w:before="40" w:after="40" w:line="240" w:lineRule="auto"/>
              <w:rPr>
                <w:rFonts w:cs="Arial"/>
                <w:sz w:val="19"/>
                <w:szCs w:val="19"/>
                <w:lang w:eastAsia="zh-CN"/>
              </w:rPr>
            </w:pPr>
            <w:r>
              <w:rPr>
                <w:rFonts w:eastAsia="SimHei" w:cs="Arial"/>
                <w:sz w:val="19"/>
                <w:szCs w:val="19"/>
                <w:lang w:eastAsia="zh-TW"/>
              </w:rPr>
              <w:t xml:space="preserve">19 </w:t>
            </w:r>
            <w:r w:rsidR="00334D95">
              <w:rPr>
                <w:rFonts w:eastAsia="SimHei" w:cs="Arial"/>
                <w:sz w:val="19"/>
                <w:szCs w:val="19"/>
                <w:lang w:eastAsia="zh-TW"/>
              </w:rPr>
              <w:t>November</w:t>
            </w:r>
            <w:r>
              <w:rPr>
                <w:rFonts w:eastAsia="SimHei" w:cs="Arial"/>
                <w:sz w:val="19"/>
                <w:szCs w:val="19"/>
                <w:lang w:eastAsia="zh-TW"/>
              </w:rPr>
              <w:t xml:space="preserve"> 2021</w:t>
            </w:r>
            <w:r w:rsidR="001D7255" w:rsidRPr="00200547">
              <w:rPr>
                <w:rFonts w:cs="Arial"/>
                <w:sz w:val="19"/>
                <w:szCs w:val="19"/>
                <w:lang w:eastAsia="zh-CN"/>
              </w:rPr>
              <w:t xml:space="preserve"> or such other </w:t>
            </w:r>
            <w:r w:rsidR="00D04F6F">
              <w:rPr>
                <w:rFonts w:cs="Arial"/>
                <w:sz w:val="19"/>
                <w:szCs w:val="19"/>
                <w:lang w:eastAsia="zh-CN"/>
              </w:rPr>
              <w:t>Settlement</w:t>
            </w:r>
            <w:r w:rsidR="00D04F6F" w:rsidRPr="00200547">
              <w:rPr>
                <w:rFonts w:cs="Arial"/>
                <w:sz w:val="19"/>
                <w:szCs w:val="19"/>
                <w:lang w:eastAsia="zh-CN"/>
              </w:rPr>
              <w:t xml:space="preserve"> </w:t>
            </w:r>
            <w:r w:rsidR="001D7255" w:rsidRPr="00200547">
              <w:rPr>
                <w:rFonts w:cs="Arial"/>
                <w:sz w:val="19"/>
                <w:szCs w:val="19"/>
                <w:lang w:eastAsia="zh-CN"/>
              </w:rPr>
              <w:t>Business Day determined in accordance with the provisions of this Tender Information Memorandum.</w:t>
            </w:r>
          </w:p>
        </w:tc>
      </w:tr>
      <w:tr w:rsidR="00B61CFA" w:rsidRPr="00200547" w14:paraId="6AD26B9F" w14:textId="77777777" w:rsidTr="001751D7">
        <w:tc>
          <w:tcPr>
            <w:tcW w:w="3084" w:type="dxa"/>
            <w:shd w:val="clear" w:color="auto" w:fill="auto"/>
          </w:tcPr>
          <w:p w14:paraId="47BB2F2C" w14:textId="77777777" w:rsidR="00B61CFA" w:rsidRPr="00200547" w:rsidRDefault="00B61CFA" w:rsidP="001751D7">
            <w:pPr>
              <w:pStyle w:val="Body"/>
              <w:spacing w:before="40" w:after="40" w:line="240" w:lineRule="auto"/>
              <w:jc w:val="left"/>
              <w:rPr>
                <w:rFonts w:cs="Arial"/>
                <w:b/>
                <w:sz w:val="19"/>
                <w:szCs w:val="19"/>
                <w:lang w:eastAsia="zh-CN"/>
              </w:rPr>
            </w:pPr>
            <w:r w:rsidRPr="00200547">
              <w:rPr>
                <w:rFonts w:cs="Arial"/>
                <w:b/>
                <w:sz w:val="19"/>
                <w:szCs w:val="19"/>
                <w:lang w:eastAsia="zh-CN"/>
              </w:rPr>
              <w:t>Settlement Business Day</w:t>
            </w:r>
          </w:p>
        </w:tc>
        <w:tc>
          <w:tcPr>
            <w:tcW w:w="6388" w:type="dxa"/>
            <w:shd w:val="clear" w:color="auto" w:fill="auto"/>
          </w:tcPr>
          <w:p w14:paraId="730D9322" w14:textId="77777777" w:rsidR="00B61CFA" w:rsidRPr="00200547" w:rsidRDefault="00B61CFA" w:rsidP="001751D7">
            <w:pPr>
              <w:pStyle w:val="Body"/>
              <w:spacing w:before="40" w:after="40" w:line="240" w:lineRule="auto"/>
              <w:rPr>
                <w:rFonts w:cs="Arial"/>
                <w:sz w:val="19"/>
                <w:szCs w:val="19"/>
                <w:lang w:eastAsia="zh-CN"/>
              </w:rPr>
            </w:pPr>
            <w:r w:rsidRPr="00200547">
              <w:rPr>
                <w:rFonts w:cs="Arial"/>
                <w:sz w:val="19"/>
                <w:szCs w:val="19"/>
                <w:lang w:eastAsia="zh-CN"/>
              </w:rPr>
              <w:t>means a day on which CMU and RMB RTGS System are opened for business.</w:t>
            </w:r>
          </w:p>
        </w:tc>
      </w:tr>
      <w:tr w:rsidR="007E3C4E" w:rsidRPr="00200547" w14:paraId="2AF89D33" w14:textId="77777777" w:rsidTr="006E14CF">
        <w:tc>
          <w:tcPr>
            <w:tcW w:w="3084" w:type="dxa"/>
            <w:shd w:val="clear" w:color="auto" w:fill="auto"/>
          </w:tcPr>
          <w:p w14:paraId="25779EBC"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Tender Business Da</w:t>
            </w:r>
            <w:r w:rsidR="004B45E8" w:rsidRPr="00200547">
              <w:rPr>
                <w:rFonts w:cs="Arial"/>
                <w:b/>
                <w:sz w:val="19"/>
                <w:szCs w:val="19"/>
                <w:lang w:eastAsia="zh-CN"/>
              </w:rPr>
              <w:t>y</w:t>
            </w:r>
          </w:p>
        </w:tc>
        <w:tc>
          <w:tcPr>
            <w:tcW w:w="6388" w:type="dxa"/>
            <w:shd w:val="clear" w:color="auto" w:fill="auto"/>
          </w:tcPr>
          <w:p w14:paraId="79116264"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has the same meaning as a “business day” in the CMU BID Conditions.</w:t>
            </w:r>
          </w:p>
        </w:tc>
      </w:tr>
      <w:tr w:rsidR="007E3C4E" w:rsidRPr="00200547" w14:paraId="37470946" w14:textId="77777777" w:rsidTr="006E14CF">
        <w:tc>
          <w:tcPr>
            <w:tcW w:w="3084" w:type="dxa"/>
            <w:shd w:val="clear" w:color="auto" w:fill="auto"/>
          </w:tcPr>
          <w:p w14:paraId="1EB38592"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Qualified Bidder</w:t>
            </w:r>
          </w:p>
        </w:tc>
        <w:tc>
          <w:tcPr>
            <w:tcW w:w="6388" w:type="dxa"/>
            <w:shd w:val="clear" w:color="auto" w:fill="auto"/>
          </w:tcPr>
          <w:p w14:paraId="6817F5EC"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 xml:space="preserve">any qualified institutional investor who satisfies all of the following conditions (and who shall be a Bidder as referred to in the CMU BID Conditions for the purpose of tendering the Bonds): </w:t>
            </w:r>
          </w:p>
          <w:p w14:paraId="7A424E4D" w14:textId="77777777" w:rsidR="00505294" w:rsidRPr="00200547" w:rsidRDefault="00505294" w:rsidP="00505294">
            <w:pPr>
              <w:pStyle w:val="Body"/>
              <w:numPr>
                <w:ilvl w:val="0"/>
                <w:numId w:val="3"/>
              </w:numPr>
              <w:spacing w:before="40" w:after="40" w:line="240" w:lineRule="auto"/>
              <w:rPr>
                <w:rFonts w:cs="Arial"/>
                <w:sz w:val="19"/>
                <w:szCs w:val="19"/>
                <w:lang w:eastAsia="zh-CN"/>
              </w:rPr>
            </w:pPr>
            <w:r w:rsidRPr="00200547">
              <w:rPr>
                <w:rFonts w:cs="Arial"/>
                <w:sz w:val="19"/>
                <w:szCs w:val="19"/>
                <w:lang w:eastAsia="zh-CN"/>
              </w:rPr>
              <w:t>it must be a CMU member;</w:t>
            </w:r>
          </w:p>
          <w:p w14:paraId="5CC2CB91" w14:textId="77777777" w:rsidR="00505294" w:rsidRPr="00200547" w:rsidRDefault="00505294" w:rsidP="00505294">
            <w:pPr>
              <w:pStyle w:val="Body"/>
              <w:numPr>
                <w:ilvl w:val="0"/>
                <w:numId w:val="3"/>
              </w:numPr>
              <w:spacing w:before="40" w:after="40" w:line="240" w:lineRule="auto"/>
              <w:rPr>
                <w:rFonts w:cs="Arial"/>
                <w:sz w:val="19"/>
                <w:szCs w:val="19"/>
                <w:lang w:eastAsia="zh-CN"/>
              </w:rPr>
            </w:pPr>
            <w:r w:rsidRPr="00200547">
              <w:rPr>
                <w:rFonts w:cs="Arial"/>
                <w:sz w:val="19"/>
                <w:szCs w:val="19"/>
                <w:lang w:eastAsia="zh-CN"/>
              </w:rPr>
              <w:t xml:space="preserve">it has executed and submitted to the Operator Form A in the prescribed form set out in the CMU BID Conditions before the commencement of tender on the Tender Date; and </w:t>
            </w:r>
          </w:p>
          <w:p w14:paraId="38087396" w14:textId="77777777" w:rsidR="00505294" w:rsidRPr="00200547" w:rsidRDefault="00505294" w:rsidP="00505294">
            <w:pPr>
              <w:pStyle w:val="Body"/>
              <w:numPr>
                <w:ilvl w:val="0"/>
                <w:numId w:val="3"/>
              </w:numPr>
              <w:spacing w:before="40" w:after="40" w:line="240" w:lineRule="auto"/>
              <w:rPr>
                <w:rFonts w:cs="Arial"/>
                <w:sz w:val="19"/>
                <w:szCs w:val="19"/>
                <w:lang w:eastAsia="zh-CN"/>
              </w:rPr>
            </w:pPr>
            <w:r w:rsidRPr="00200547">
              <w:rPr>
                <w:rFonts w:cs="Arial"/>
                <w:sz w:val="19"/>
                <w:szCs w:val="19"/>
                <w:lang w:eastAsia="zh-CN"/>
              </w:rPr>
              <w:t xml:space="preserve">it is able to settle the Bonds through the RMB RTGS System on </w:t>
            </w:r>
            <w:r w:rsidRPr="00200547">
              <w:rPr>
                <w:rFonts w:cs="Arial"/>
                <w:kern w:val="0"/>
                <w:sz w:val="19"/>
                <w:szCs w:val="19"/>
              </w:rPr>
              <w:t>the DvP basis.</w:t>
            </w:r>
          </w:p>
        </w:tc>
      </w:tr>
      <w:tr w:rsidR="007E3C4E" w:rsidRPr="00200547" w14:paraId="6022AB64" w14:textId="77777777" w:rsidTr="006E14CF">
        <w:tc>
          <w:tcPr>
            <w:tcW w:w="3084" w:type="dxa"/>
            <w:shd w:val="clear" w:color="auto" w:fill="auto"/>
          </w:tcPr>
          <w:p w14:paraId="3B3B9CB8" w14:textId="77777777" w:rsidR="00505294" w:rsidRPr="00200547" w:rsidRDefault="00505294" w:rsidP="00505294">
            <w:pPr>
              <w:pStyle w:val="Body"/>
              <w:spacing w:before="40" w:after="40" w:line="240" w:lineRule="auto"/>
              <w:jc w:val="left"/>
              <w:rPr>
                <w:rFonts w:eastAsia="SimSun" w:cs="Arial"/>
                <w:b/>
                <w:sz w:val="19"/>
                <w:szCs w:val="19"/>
                <w:lang w:eastAsia="zh-CN"/>
              </w:rPr>
            </w:pPr>
            <w:r w:rsidRPr="00200547">
              <w:rPr>
                <w:rFonts w:cs="Arial"/>
                <w:b/>
                <w:sz w:val="19"/>
                <w:szCs w:val="19"/>
                <w:lang w:eastAsia="zh-CN"/>
              </w:rPr>
              <w:t>CMU Member</w:t>
            </w:r>
          </w:p>
        </w:tc>
        <w:tc>
          <w:tcPr>
            <w:tcW w:w="6388" w:type="dxa"/>
            <w:shd w:val="clear" w:color="auto" w:fill="auto"/>
          </w:tcPr>
          <w:p w14:paraId="78F813F6" w14:textId="77777777" w:rsidR="00505294" w:rsidRPr="00200547" w:rsidRDefault="00505294" w:rsidP="00505294">
            <w:pPr>
              <w:pStyle w:val="Body"/>
              <w:spacing w:before="40" w:after="40" w:line="240" w:lineRule="auto"/>
              <w:rPr>
                <w:rFonts w:cs="Arial"/>
                <w:sz w:val="19"/>
                <w:szCs w:val="19"/>
              </w:rPr>
            </w:pPr>
            <w:r w:rsidRPr="00200547">
              <w:rPr>
                <w:rFonts w:cs="Arial"/>
                <w:sz w:val="19"/>
                <w:szCs w:val="19"/>
                <w:lang w:eastAsia="zh-CN"/>
              </w:rPr>
              <w:t>has the same meaning ascribed to it in the CMU BID Conditions.</w:t>
            </w:r>
          </w:p>
        </w:tc>
      </w:tr>
      <w:tr w:rsidR="007E3C4E" w:rsidRPr="00200547" w14:paraId="56E04836" w14:textId="77777777" w:rsidTr="006E14CF">
        <w:tc>
          <w:tcPr>
            <w:tcW w:w="3084" w:type="dxa"/>
            <w:shd w:val="clear" w:color="auto" w:fill="auto"/>
          </w:tcPr>
          <w:p w14:paraId="2D16123E"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Fiscal Agency Agreement</w:t>
            </w:r>
          </w:p>
        </w:tc>
        <w:tc>
          <w:tcPr>
            <w:tcW w:w="6388" w:type="dxa"/>
            <w:shd w:val="clear" w:color="auto" w:fill="auto"/>
          </w:tcPr>
          <w:p w14:paraId="42C6921D" w14:textId="532872CE" w:rsidR="00505294" w:rsidRPr="00200547" w:rsidRDefault="006B54DC" w:rsidP="006B54DC">
            <w:pPr>
              <w:pStyle w:val="Body"/>
              <w:spacing w:before="40" w:after="40" w:line="240" w:lineRule="auto"/>
              <w:rPr>
                <w:rFonts w:cs="Arial"/>
                <w:sz w:val="19"/>
                <w:szCs w:val="19"/>
                <w:lang w:eastAsia="zh-CN"/>
              </w:rPr>
            </w:pPr>
            <w:r>
              <w:rPr>
                <w:rFonts w:cs="Arial"/>
                <w:sz w:val="19"/>
                <w:szCs w:val="19"/>
              </w:rPr>
              <w:t>T</w:t>
            </w:r>
            <w:r w:rsidR="00505294" w:rsidRPr="00200547">
              <w:rPr>
                <w:rFonts w:cs="Arial"/>
                <w:sz w:val="19"/>
                <w:szCs w:val="19"/>
              </w:rPr>
              <w:t xml:space="preserve">he Fiscal Agency Agreement dated </w:t>
            </w:r>
            <w:r w:rsidR="00146C7C" w:rsidRPr="006B54DC">
              <w:rPr>
                <w:rFonts w:eastAsia="SimHei" w:cs="Arial"/>
                <w:sz w:val="19"/>
                <w:szCs w:val="19"/>
                <w:lang w:eastAsia="zh-CN"/>
              </w:rPr>
              <w:t>8</w:t>
            </w:r>
            <w:r w:rsidR="003D3005" w:rsidRPr="006B54DC">
              <w:rPr>
                <w:rFonts w:cs="Arial"/>
                <w:sz w:val="19"/>
                <w:szCs w:val="19"/>
                <w:lang w:eastAsia="zh-CN"/>
              </w:rPr>
              <w:t xml:space="preserve"> </w:t>
            </w:r>
            <w:r w:rsidR="003D3005" w:rsidRPr="006B54DC">
              <w:rPr>
                <w:rFonts w:eastAsiaTheme="minorEastAsia" w:cs="Arial"/>
                <w:sz w:val="19"/>
                <w:szCs w:val="19"/>
                <w:lang w:eastAsia="zh-CN"/>
              </w:rPr>
              <w:t>December</w:t>
            </w:r>
            <w:r w:rsidR="00505294" w:rsidRPr="006B54DC">
              <w:rPr>
                <w:rFonts w:cs="Arial"/>
                <w:sz w:val="19"/>
                <w:szCs w:val="19"/>
                <w:lang w:eastAsia="zh-CN"/>
              </w:rPr>
              <w:t xml:space="preserve"> </w:t>
            </w:r>
            <w:r w:rsidR="00C55622" w:rsidRPr="006B54DC">
              <w:rPr>
                <w:rFonts w:cs="Arial"/>
                <w:sz w:val="19"/>
                <w:szCs w:val="19"/>
                <w:lang w:eastAsia="zh-CN"/>
              </w:rPr>
              <w:t>2016</w:t>
            </w:r>
            <w:r w:rsidR="00DF2FD3">
              <w:rPr>
                <w:rFonts w:cs="Arial"/>
                <w:sz w:val="19"/>
                <w:szCs w:val="19"/>
                <w:lang w:eastAsia="zh-CN"/>
              </w:rPr>
              <w:t>, as amended from time to time,</w:t>
            </w:r>
            <w:r w:rsidR="00C55622" w:rsidRPr="00200547">
              <w:rPr>
                <w:rFonts w:cs="Arial"/>
                <w:sz w:val="19"/>
                <w:szCs w:val="19"/>
              </w:rPr>
              <w:t xml:space="preserve"> </w:t>
            </w:r>
            <w:r w:rsidR="00505294" w:rsidRPr="00200547">
              <w:rPr>
                <w:rFonts w:cs="Arial"/>
                <w:sz w:val="19"/>
                <w:szCs w:val="19"/>
              </w:rPr>
              <w:t xml:space="preserve">between the Ministry of Finance (as issuer) and Bank of Communications Co., Ltd. Hong Kong Branch (as fiscal agent, lodging agent, calculation agent and principal paying agent). </w:t>
            </w:r>
          </w:p>
        </w:tc>
      </w:tr>
    </w:tbl>
    <w:p w14:paraId="753F2C1C" w14:textId="77777777" w:rsidR="00505294" w:rsidRPr="00200547" w:rsidRDefault="00505294">
      <w:pPr>
        <w:pStyle w:val="Body"/>
        <w:keepNext/>
        <w:pageBreakBefore/>
        <w:jc w:val="center"/>
        <w:rPr>
          <w:rFonts w:eastAsia="SimHei" w:cs="Arial"/>
          <w:b/>
          <w:sz w:val="24"/>
          <w:lang w:eastAsia="zh-CN"/>
        </w:rPr>
      </w:pPr>
      <w:r w:rsidRPr="00200547">
        <w:rPr>
          <w:rFonts w:eastAsia="SimHei" w:cs="Arial"/>
          <w:b/>
          <w:sz w:val="24"/>
          <w:lang w:eastAsia="zh-CN"/>
        </w:rPr>
        <w:t>Tender Arrangements</w:t>
      </w:r>
    </w:p>
    <w:p w14:paraId="138C2EFA" w14:textId="77777777" w:rsidR="00505294" w:rsidRPr="00200547" w:rsidRDefault="00505294">
      <w:pPr>
        <w:pStyle w:val="SubHead"/>
        <w:rPr>
          <w:rFonts w:cs="Arial"/>
          <w:b w:val="0"/>
          <w:sz w:val="24"/>
        </w:rPr>
      </w:pPr>
      <w:r w:rsidRPr="00200547">
        <w:rPr>
          <w:rFonts w:cs="Arial"/>
        </w:rPr>
        <w:t>General</w:t>
      </w:r>
    </w:p>
    <w:p w14:paraId="03F2E997" w14:textId="585FCC2C" w:rsidR="00505294" w:rsidRPr="00200547" w:rsidRDefault="00505294" w:rsidP="004B45E8">
      <w:pPr>
        <w:pStyle w:val="Body"/>
        <w:rPr>
          <w:rFonts w:cs="Arial"/>
          <w:szCs w:val="20"/>
        </w:rPr>
      </w:pPr>
      <w:r w:rsidRPr="00200547">
        <w:rPr>
          <w:rFonts w:cs="Arial"/>
          <w:szCs w:val="20"/>
        </w:rPr>
        <w:t>The Ministry of Finance is tendering the</w:t>
      </w:r>
      <w:r w:rsidR="004B45E8" w:rsidRPr="00200547">
        <w:rPr>
          <w:rFonts w:cs="Arial"/>
          <w:szCs w:val="20"/>
        </w:rPr>
        <w:t xml:space="preserve"> Additional </w:t>
      </w:r>
      <w:r w:rsidR="00C36BBC">
        <w:rPr>
          <w:rFonts w:cs="Arial"/>
          <w:szCs w:val="20"/>
        </w:rPr>
        <w:t>2023</w:t>
      </w:r>
      <w:r w:rsidR="00114C53" w:rsidRPr="00200547">
        <w:rPr>
          <w:rFonts w:cs="Arial"/>
          <w:szCs w:val="20"/>
        </w:rPr>
        <w:t xml:space="preserve"> </w:t>
      </w:r>
      <w:r w:rsidRPr="00200547">
        <w:rPr>
          <w:rFonts w:cs="Arial"/>
          <w:szCs w:val="20"/>
        </w:rPr>
        <w:t>Bonds</w:t>
      </w:r>
      <w:r w:rsidR="00632DE1">
        <w:rPr>
          <w:rFonts w:cs="Arial"/>
          <w:szCs w:val="20"/>
        </w:rPr>
        <w:t>, the Additional 2026 Bonds and the Additional 2031 Bonds</w:t>
      </w:r>
      <w:r w:rsidRPr="00200547">
        <w:rPr>
          <w:rFonts w:cs="Arial"/>
          <w:szCs w:val="20"/>
        </w:rPr>
        <w:t xml:space="preserve"> for competitive </w:t>
      </w:r>
      <w:r w:rsidR="004B45E8" w:rsidRPr="00200547">
        <w:rPr>
          <w:rFonts w:cs="Arial"/>
          <w:szCs w:val="20"/>
        </w:rPr>
        <w:t>price-</w:t>
      </w:r>
      <w:r w:rsidRPr="00200547">
        <w:rPr>
          <w:rFonts w:cs="Arial"/>
          <w:szCs w:val="20"/>
        </w:rPr>
        <w:t>based bidding through the CMU BID.</w:t>
      </w:r>
      <w:r w:rsidR="004B45E8" w:rsidRPr="00200547">
        <w:rPr>
          <w:rFonts w:cs="Arial"/>
        </w:rPr>
        <w:t xml:space="preserve"> </w:t>
      </w:r>
      <w:r w:rsidR="004B45E8" w:rsidRPr="00200547">
        <w:rPr>
          <w:rFonts w:cs="Arial"/>
          <w:szCs w:val="20"/>
        </w:rPr>
        <w:t xml:space="preserve">Upon issuance, the Additional </w:t>
      </w:r>
      <w:r w:rsidR="00C36BBC">
        <w:rPr>
          <w:rFonts w:cs="Arial"/>
          <w:szCs w:val="20"/>
        </w:rPr>
        <w:t>2023</w:t>
      </w:r>
      <w:r w:rsidR="00114C53" w:rsidRPr="00200547">
        <w:rPr>
          <w:rFonts w:cs="Arial"/>
          <w:szCs w:val="20"/>
        </w:rPr>
        <w:t xml:space="preserve"> </w:t>
      </w:r>
      <w:r w:rsidR="004B45E8" w:rsidRPr="00200547">
        <w:rPr>
          <w:rFonts w:cs="Arial"/>
          <w:szCs w:val="20"/>
        </w:rPr>
        <w:t xml:space="preserve">Bonds will be consolidated and form a single series with the Original </w:t>
      </w:r>
      <w:r w:rsidR="00C36BBC">
        <w:rPr>
          <w:rFonts w:cs="Arial"/>
          <w:szCs w:val="20"/>
        </w:rPr>
        <w:t>2023</w:t>
      </w:r>
      <w:r w:rsidR="00114C53" w:rsidRPr="00200547">
        <w:rPr>
          <w:rFonts w:cs="Arial"/>
          <w:szCs w:val="20"/>
        </w:rPr>
        <w:t xml:space="preserve"> </w:t>
      </w:r>
      <w:r w:rsidR="004B45E8" w:rsidRPr="00200547">
        <w:rPr>
          <w:rFonts w:cs="Arial"/>
          <w:szCs w:val="20"/>
        </w:rPr>
        <w:t>Bonds</w:t>
      </w:r>
      <w:r w:rsidR="00632DE1">
        <w:rPr>
          <w:rFonts w:cs="Arial"/>
          <w:szCs w:val="20"/>
        </w:rPr>
        <w:t xml:space="preserve">, </w:t>
      </w:r>
      <w:r w:rsidR="004B45E8" w:rsidRPr="00200547">
        <w:rPr>
          <w:rFonts w:cs="Arial"/>
          <w:szCs w:val="20"/>
        </w:rPr>
        <w:t xml:space="preserve">the Additional </w:t>
      </w:r>
      <w:r w:rsidR="00250501">
        <w:rPr>
          <w:rFonts w:cs="Arial"/>
          <w:szCs w:val="20"/>
        </w:rPr>
        <w:t>2026</w:t>
      </w:r>
      <w:r w:rsidR="00114C53" w:rsidRPr="00200547">
        <w:rPr>
          <w:rFonts w:cs="Arial"/>
          <w:szCs w:val="20"/>
        </w:rPr>
        <w:t xml:space="preserve"> </w:t>
      </w:r>
      <w:r w:rsidR="004B45E8" w:rsidRPr="00200547">
        <w:rPr>
          <w:rFonts w:cs="Arial"/>
          <w:szCs w:val="20"/>
        </w:rPr>
        <w:t xml:space="preserve">Bonds will be consolidated and form a single series with the Original </w:t>
      </w:r>
      <w:r w:rsidR="00250501">
        <w:rPr>
          <w:rFonts w:cs="Arial"/>
          <w:szCs w:val="20"/>
        </w:rPr>
        <w:t>2026</w:t>
      </w:r>
      <w:r w:rsidR="00114C53" w:rsidRPr="00200547">
        <w:rPr>
          <w:rFonts w:cs="Arial"/>
          <w:szCs w:val="20"/>
        </w:rPr>
        <w:t xml:space="preserve"> </w:t>
      </w:r>
      <w:r w:rsidR="004B45E8" w:rsidRPr="00200547">
        <w:rPr>
          <w:rFonts w:cs="Arial"/>
          <w:szCs w:val="20"/>
        </w:rPr>
        <w:t>Bonds</w:t>
      </w:r>
      <w:r w:rsidR="00632DE1">
        <w:rPr>
          <w:rFonts w:cs="Arial"/>
          <w:szCs w:val="20"/>
        </w:rPr>
        <w:t xml:space="preserve"> and the Additional 2031 Bonds will be consolidated and form a single series with the Original 2031 Bonds.</w:t>
      </w:r>
    </w:p>
    <w:p w14:paraId="18F8053F" w14:textId="77777777" w:rsidR="00505294" w:rsidRPr="00200547" w:rsidRDefault="00505294">
      <w:pPr>
        <w:pStyle w:val="Body"/>
        <w:rPr>
          <w:rFonts w:cs="Arial"/>
          <w:szCs w:val="20"/>
          <w:lang w:eastAsia="zh-CN"/>
        </w:rPr>
      </w:pPr>
      <w:r w:rsidRPr="00200547">
        <w:rPr>
          <w:rFonts w:cs="Arial"/>
          <w:szCs w:val="20"/>
        </w:rPr>
        <w:t xml:space="preserve">The Ministry of Finance has appointed </w:t>
      </w:r>
      <w:r w:rsidRPr="00200547">
        <w:rPr>
          <w:rFonts w:cs="Arial"/>
          <w:szCs w:val="20"/>
          <w:lang w:eastAsia="zh-CN"/>
        </w:rPr>
        <w:t xml:space="preserve">the Issuing and Lodging Agent to administer the tender of the </w:t>
      </w:r>
      <w:r w:rsidR="004B45E8" w:rsidRPr="00200547">
        <w:rPr>
          <w:rFonts w:cs="Arial"/>
          <w:szCs w:val="20"/>
          <w:lang w:eastAsia="zh-CN"/>
        </w:rPr>
        <w:t xml:space="preserve">Additional </w:t>
      </w:r>
      <w:r w:rsidRPr="00200547">
        <w:rPr>
          <w:rFonts w:cs="Arial"/>
          <w:szCs w:val="20"/>
          <w:lang w:eastAsia="zh-CN"/>
        </w:rPr>
        <w:t>Bonds on its behalf.</w:t>
      </w:r>
    </w:p>
    <w:p w14:paraId="7DEE0EFC" w14:textId="77777777" w:rsidR="00505294" w:rsidRPr="00200547" w:rsidRDefault="00505294">
      <w:pPr>
        <w:pStyle w:val="Body"/>
        <w:rPr>
          <w:rFonts w:cs="Arial"/>
          <w:szCs w:val="20"/>
        </w:rPr>
      </w:pPr>
      <w:r w:rsidRPr="00200547">
        <w:rPr>
          <w:rFonts w:cs="Arial"/>
          <w:szCs w:val="20"/>
        </w:rPr>
        <w:t xml:space="preserve">The tender and settlement of the </w:t>
      </w:r>
      <w:r w:rsidR="004B45E8" w:rsidRPr="00200547">
        <w:rPr>
          <w:rFonts w:cs="Arial"/>
          <w:szCs w:val="20"/>
        </w:rPr>
        <w:t xml:space="preserve">Additional </w:t>
      </w:r>
      <w:r w:rsidRPr="00200547">
        <w:rPr>
          <w:rFonts w:cs="Arial"/>
          <w:szCs w:val="20"/>
        </w:rPr>
        <w:t xml:space="preserve">Bonds will be governed by this Tender Information Memorandum and the CMU BID Conditions, the Operating Procedures and other relevant CMU rules </w:t>
      </w:r>
      <w:r w:rsidR="001751D7">
        <w:rPr>
          <w:rFonts w:cs="Arial"/>
          <w:szCs w:val="20"/>
        </w:rPr>
        <w:t xml:space="preserve">as formulated and amended by the Operator from time to time </w:t>
      </w:r>
      <w:r w:rsidRPr="00200547">
        <w:rPr>
          <w:rFonts w:cs="Arial"/>
          <w:szCs w:val="20"/>
        </w:rPr>
        <w:t>(subject to any amendments under this Tender Information Memorandum).</w:t>
      </w:r>
    </w:p>
    <w:p w14:paraId="30C1D63B" w14:textId="77777777" w:rsidR="00505294" w:rsidRPr="00200547" w:rsidRDefault="00505294">
      <w:pPr>
        <w:pStyle w:val="Body"/>
        <w:rPr>
          <w:rFonts w:cs="Arial"/>
        </w:rPr>
      </w:pPr>
      <w:r w:rsidRPr="00200547">
        <w:rPr>
          <w:rFonts w:cs="Arial"/>
        </w:rPr>
        <w:t xml:space="preserve">This section describes the details of the tender, including the tender arrangements and the procedures of application, payment and settlement. </w:t>
      </w:r>
    </w:p>
    <w:p w14:paraId="17445281" w14:textId="77777777" w:rsidR="00505294" w:rsidRPr="00200547" w:rsidRDefault="008F68E3">
      <w:pPr>
        <w:pStyle w:val="SubHead"/>
        <w:rPr>
          <w:rFonts w:cs="Arial"/>
          <w:b w:val="0"/>
          <w:bCs/>
          <w:i/>
          <w:iCs/>
        </w:rPr>
      </w:pPr>
      <w:r w:rsidRPr="00200547">
        <w:rPr>
          <w:rFonts w:cs="Arial"/>
          <w:b w:val="0"/>
          <w:bCs/>
          <w:i/>
          <w:iCs/>
        </w:rPr>
        <w:t>Tender Procedures</w:t>
      </w:r>
    </w:p>
    <w:p w14:paraId="331DD3C4" w14:textId="77777777" w:rsidR="00505294" w:rsidRPr="00200547" w:rsidRDefault="00505294">
      <w:pPr>
        <w:pStyle w:val="Body"/>
        <w:rPr>
          <w:rFonts w:cs="Arial"/>
        </w:rPr>
      </w:pPr>
      <w:r w:rsidRPr="00200547">
        <w:rPr>
          <w:rFonts w:cs="Arial"/>
        </w:rPr>
        <w:t xml:space="preserve">All tenders must be made on the Tender Date. If for any reason the specified Tender Date is not a Tender Business Day (e.g. if there is a typhoon signal no. 8 or higher or a black rainstorm warning), tenders for the </w:t>
      </w:r>
      <w:r w:rsidR="001D7255">
        <w:rPr>
          <w:rFonts w:cs="Arial"/>
        </w:rPr>
        <w:t xml:space="preserve">Additional </w:t>
      </w:r>
      <w:r w:rsidRPr="00200547">
        <w:rPr>
          <w:rFonts w:cs="Arial"/>
        </w:rPr>
        <w:t xml:space="preserve">Bonds may be submitted on the next following Tender Business Day which shall then be automatically designated as the Tender Date. The Issuing and Lodging Agent will arrange for the announcement of the aggregate principal amount, </w:t>
      </w:r>
      <w:r w:rsidR="004B45E8" w:rsidRPr="00200547">
        <w:rPr>
          <w:rFonts w:cs="Arial"/>
        </w:rPr>
        <w:t>settlement</w:t>
      </w:r>
      <w:r w:rsidRPr="00200547">
        <w:rPr>
          <w:rFonts w:cs="Arial"/>
        </w:rPr>
        <w:t xml:space="preserve"> date and other important information about the </w:t>
      </w:r>
      <w:r w:rsidR="004B45E8" w:rsidRPr="00200547">
        <w:rPr>
          <w:rFonts w:cs="Arial"/>
        </w:rPr>
        <w:t xml:space="preserve">Additional </w:t>
      </w:r>
      <w:r w:rsidRPr="00200547">
        <w:rPr>
          <w:rFonts w:cs="Arial"/>
        </w:rPr>
        <w:t xml:space="preserve">Bonds on the website of the HKMA and the CMU Bond Price Bulletin at least </w:t>
      </w:r>
      <w:r w:rsidR="001751D7">
        <w:rPr>
          <w:rFonts w:cs="Arial"/>
        </w:rPr>
        <w:t>4</w:t>
      </w:r>
      <w:r w:rsidR="001751D7" w:rsidRPr="00200547">
        <w:rPr>
          <w:rFonts w:cs="Arial"/>
        </w:rPr>
        <w:t xml:space="preserve"> </w:t>
      </w:r>
      <w:r w:rsidRPr="00200547">
        <w:rPr>
          <w:rFonts w:cs="Arial"/>
        </w:rPr>
        <w:t xml:space="preserve">Tender Business Days before the Tender Date. </w:t>
      </w:r>
    </w:p>
    <w:p w14:paraId="1A51C2D3" w14:textId="77777777" w:rsidR="00505294" w:rsidRPr="00200547" w:rsidRDefault="00505294">
      <w:pPr>
        <w:pStyle w:val="Body"/>
        <w:rPr>
          <w:rFonts w:cs="Arial"/>
        </w:rPr>
      </w:pPr>
      <w:r w:rsidRPr="00200547">
        <w:rPr>
          <w:rFonts w:cs="Arial"/>
        </w:rPr>
        <w:t xml:space="preserve">Tenders may only be made by Qualified Bidders. Any investors who wish to subscribe for the </w:t>
      </w:r>
      <w:r w:rsidR="001D7255">
        <w:rPr>
          <w:rFonts w:cs="Arial"/>
        </w:rPr>
        <w:t xml:space="preserve">Additional </w:t>
      </w:r>
      <w:r w:rsidRPr="00200547">
        <w:rPr>
          <w:rFonts w:cs="Arial"/>
        </w:rPr>
        <w:t>Bonds must tender through Qualified Bidders.</w:t>
      </w:r>
    </w:p>
    <w:p w14:paraId="4DABCA1B" w14:textId="77777777" w:rsidR="00505294" w:rsidRPr="00200547" w:rsidRDefault="00505294">
      <w:pPr>
        <w:pStyle w:val="Body"/>
        <w:rPr>
          <w:rFonts w:cs="Arial"/>
        </w:rPr>
      </w:pPr>
      <w:r w:rsidRPr="00200547">
        <w:rPr>
          <w:rFonts w:cs="Arial"/>
        </w:rPr>
        <w:t xml:space="preserve">All tenders for the relevant series of </w:t>
      </w:r>
      <w:r w:rsidR="004B45E8" w:rsidRPr="00200547">
        <w:rPr>
          <w:rFonts w:cs="Arial"/>
        </w:rPr>
        <w:t xml:space="preserve">Additional </w:t>
      </w:r>
      <w:r w:rsidRPr="00200547">
        <w:rPr>
          <w:rFonts w:cs="Arial"/>
        </w:rPr>
        <w:t>Bonds must be in the form set out in Annex A to this Tender Information Memorandum.</w:t>
      </w:r>
    </w:p>
    <w:p w14:paraId="52754327" w14:textId="77777777" w:rsidR="00505294" w:rsidRPr="00200547" w:rsidRDefault="00505294">
      <w:pPr>
        <w:pStyle w:val="Body"/>
        <w:rPr>
          <w:rFonts w:cs="Arial"/>
        </w:rPr>
      </w:pPr>
      <w:r w:rsidRPr="00200547">
        <w:rPr>
          <w:rFonts w:cs="Arial"/>
        </w:rPr>
        <w:t xml:space="preserve">Tender forms in respect of each series of </w:t>
      </w:r>
      <w:r w:rsidR="004B45E8" w:rsidRPr="00200547">
        <w:rPr>
          <w:rFonts w:cs="Arial"/>
        </w:rPr>
        <w:t xml:space="preserve">Additional </w:t>
      </w:r>
      <w:r w:rsidRPr="00200547">
        <w:rPr>
          <w:rFonts w:cs="Arial"/>
        </w:rPr>
        <w:t>Bonds must reach the Operator from 9:30 a.m. to 10:30 a.m. Hong Kong time on the Tender Date. They should be transmitted via the Qualified Bidder’s CMU Member Terminal (“</w:t>
      </w:r>
      <w:r w:rsidRPr="00200547">
        <w:rPr>
          <w:rFonts w:cs="Arial"/>
          <w:b/>
        </w:rPr>
        <w:t>CMT</w:t>
      </w:r>
      <w:r w:rsidRPr="00200547">
        <w:rPr>
          <w:rFonts w:cs="Arial"/>
        </w:rPr>
        <w:t>”) or authenticated fax or by such other means as may be designated by the Issuing and Lodging Agent and the Operator pursuant to the Operating Procedures. The Ministry of Finance reserves the right to close the tender early, or allow more time, without prior notice. The Ministry of Finance further reserves the right to cancel the tender at any time on or before the Tender Date.</w:t>
      </w:r>
    </w:p>
    <w:p w14:paraId="779E04BC" w14:textId="77777777" w:rsidR="00505294" w:rsidRPr="007C25EB" w:rsidRDefault="00505294" w:rsidP="004B45E8">
      <w:pPr>
        <w:pStyle w:val="Body"/>
        <w:rPr>
          <w:rFonts w:cs="Arial"/>
          <w:color w:val="000000" w:themeColor="text1"/>
        </w:rPr>
      </w:pPr>
      <w:r w:rsidRPr="00200547">
        <w:rPr>
          <w:rFonts w:cs="Arial"/>
        </w:rPr>
        <w:t xml:space="preserve">All the tenders submitted (whether in Chinese or English) are binding and are irrevocable from 10:30 a.m. Hong Kong time on the Tender Date. Submission of a tender form by a Qualified Bidder to the Operator will constitute an irrevocable, unconditional offer by the Qualified Bidder to the Ministry of Finance, the Issuing and Lodging Agent and the Operator to </w:t>
      </w:r>
      <w:r w:rsidRPr="007C25EB">
        <w:rPr>
          <w:rFonts w:cs="Arial"/>
          <w:color w:val="000000" w:themeColor="text1"/>
        </w:rPr>
        <w:t xml:space="preserve">subscribe for </w:t>
      </w:r>
      <w:r w:rsidR="004B45E8" w:rsidRPr="007C25EB">
        <w:rPr>
          <w:rFonts w:cs="Arial"/>
          <w:color w:val="000000" w:themeColor="text1"/>
          <w:szCs w:val="20"/>
          <w:lang w:val="en-GB" w:eastAsia="zh-CN"/>
        </w:rPr>
        <w:t>the relevant series of the Additional</w:t>
      </w:r>
      <w:r w:rsidR="004B45E8" w:rsidRPr="007C25EB">
        <w:rPr>
          <w:rFonts w:cs="Arial"/>
          <w:color w:val="000000" w:themeColor="text1"/>
        </w:rPr>
        <w:t xml:space="preserve"> </w:t>
      </w:r>
      <w:r w:rsidRPr="007C25EB">
        <w:rPr>
          <w:rFonts w:cs="Arial"/>
          <w:color w:val="000000" w:themeColor="text1"/>
        </w:rPr>
        <w:t xml:space="preserve">Bonds in the amounts specified in the tender form and at the </w:t>
      </w:r>
      <w:r w:rsidR="004B45E8" w:rsidRPr="007C25EB">
        <w:rPr>
          <w:rFonts w:cs="Arial"/>
          <w:color w:val="000000" w:themeColor="text1"/>
        </w:rPr>
        <w:t>uniform issue price i.e. the lowest accepted</w:t>
      </w:r>
      <w:r w:rsidR="003C0D7C" w:rsidRPr="007C25EB">
        <w:rPr>
          <w:rFonts w:cs="Arial"/>
          <w:color w:val="000000" w:themeColor="text1"/>
        </w:rPr>
        <w:t xml:space="preserve"> </w:t>
      </w:r>
      <w:r w:rsidR="004B45E8" w:rsidRPr="007C25EB">
        <w:rPr>
          <w:rFonts w:cs="Arial"/>
          <w:color w:val="000000" w:themeColor="text1"/>
        </w:rPr>
        <w:t>price of the successful competitive tender bids for the relevant series</w:t>
      </w:r>
      <w:r w:rsidRPr="007C25EB">
        <w:rPr>
          <w:rFonts w:cs="Arial"/>
          <w:color w:val="000000" w:themeColor="text1"/>
        </w:rPr>
        <w:t xml:space="preserve"> (subject to the terms and conditions of the</w:t>
      </w:r>
      <w:r w:rsidR="00213FAC">
        <w:rPr>
          <w:rFonts w:cs="Arial"/>
          <w:color w:val="000000" w:themeColor="text1"/>
        </w:rPr>
        <w:t xml:space="preserve"> Additional</w:t>
      </w:r>
      <w:r w:rsidRPr="007C25EB">
        <w:rPr>
          <w:rFonts w:cs="Arial"/>
          <w:color w:val="000000" w:themeColor="text1"/>
        </w:rPr>
        <w:t xml:space="preserve"> Bonds)</w:t>
      </w:r>
      <w:r w:rsidR="003C0D7C" w:rsidRPr="007C25EB">
        <w:rPr>
          <w:rFonts w:cs="Arial"/>
          <w:color w:val="000000" w:themeColor="text1"/>
        </w:rPr>
        <w:t xml:space="preserve"> plus accrued interest</w:t>
      </w:r>
      <w:r w:rsidRPr="007C25EB">
        <w:rPr>
          <w:rFonts w:cs="Arial"/>
          <w:color w:val="000000" w:themeColor="text1"/>
        </w:rPr>
        <w:t xml:space="preserve">, and to transfer sufficient RMB funds to its Settlement Account before 11:30 a.m. Hong Kong time on the </w:t>
      </w:r>
      <w:r w:rsidR="003C0D7C" w:rsidRPr="007C25EB">
        <w:rPr>
          <w:rFonts w:cs="Arial"/>
          <w:color w:val="000000" w:themeColor="text1"/>
        </w:rPr>
        <w:t xml:space="preserve">Further </w:t>
      </w:r>
      <w:r w:rsidRPr="007C25EB">
        <w:rPr>
          <w:rFonts w:cs="Arial"/>
          <w:color w:val="000000" w:themeColor="text1"/>
        </w:rPr>
        <w:t>Issue Date.</w:t>
      </w:r>
    </w:p>
    <w:p w14:paraId="04288AC6" w14:textId="77777777" w:rsidR="00505294" w:rsidRPr="007C25EB" w:rsidRDefault="00505294">
      <w:pPr>
        <w:pStyle w:val="SubHead"/>
        <w:rPr>
          <w:rFonts w:cs="Arial"/>
          <w:b w:val="0"/>
          <w:bCs/>
          <w:i/>
          <w:iCs/>
          <w:color w:val="000000" w:themeColor="text1"/>
        </w:rPr>
      </w:pPr>
      <w:r w:rsidRPr="007C25EB">
        <w:rPr>
          <w:rFonts w:cs="Arial"/>
          <w:b w:val="0"/>
          <w:bCs/>
          <w:i/>
          <w:iCs/>
          <w:color w:val="000000" w:themeColor="text1"/>
        </w:rPr>
        <w:t>Tender Limits</w:t>
      </w:r>
    </w:p>
    <w:p w14:paraId="226085C1" w14:textId="77777777" w:rsidR="00505294" w:rsidRPr="00200547" w:rsidRDefault="00505294">
      <w:pPr>
        <w:pStyle w:val="Body"/>
        <w:rPr>
          <w:rFonts w:cs="Arial"/>
        </w:rPr>
      </w:pPr>
      <w:r w:rsidRPr="007C25EB">
        <w:rPr>
          <w:rFonts w:cs="Arial"/>
          <w:color w:val="000000" w:themeColor="text1"/>
        </w:rPr>
        <w:t xml:space="preserve">Tenders for each series of </w:t>
      </w:r>
      <w:r w:rsidR="003C0D7C" w:rsidRPr="007C25EB">
        <w:rPr>
          <w:rFonts w:cs="Arial"/>
          <w:color w:val="000000" w:themeColor="text1"/>
        </w:rPr>
        <w:t xml:space="preserve">Additional </w:t>
      </w:r>
      <w:r w:rsidRPr="007C25EB">
        <w:rPr>
          <w:rFonts w:cs="Arial"/>
          <w:color w:val="000000" w:themeColor="text1"/>
        </w:rPr>
        <w:t xml:space="preserve">Bonds will be made at the specified </w:t>
      </w:r>
      <w:r w:rsidR="003C0D7C" w:rsidRPr="007C25EB">
        <w:rPr>
          <w:rFonts w:cs="Arial"/>
          <w:color w:val="000000" w:themeColor="text1"/>
        </w:rPr>
        <w:t>price</w:t>
      </w:r>
      <w:r w:rsidRPr="007C25EB">
        <w:rPr>
          <w:rFonts w:cs="Arial"/>
          <w:color w:val="000000" w:themeColor="text1"/>
        </w:rPr>
        <w:t xml:space="preserve">, expressed as a percentage </w:t>
      </w:r>
      <w:r w:rsidR="003C0D7C" w:rsidRPr="007C25EB">
        <w:rPr>
          <w:rFonts w:cs="Arial"/>
          <w:color w:val="000000" w:themeColor="text1"/>
          <w:szCs w:val="20"/>
          <w:lang w:val="en-GB" w:eastAsia="zh-CN"/>
        </w:rPr>
        <w:t>and rounded to two decimal places.</w:t>
      </w:r>
      <w:r w:rsidRPr="007C25EB">
        <w:rPr>
          <w:rFonts w:cs="Arial"/>
          <w:color w:val="000000" w:themeColor="text1"/>
        </w:rPr>
        <w:t xml:space="preserve"> The difference between any multiple specified </w:t>
      </w:r>
      <w:r w:rsidR="003C0D7C" w:rsidRPr="00200547">
        <w:rPr>
          <w:rFonts w:cs="Arial"/>
        </w:rPr>
        <w:t>prices</w:t>
      </w:r>
      <w:r w:rsidRPr="00200547">
        <w:rPr>
          <w:rFonts w:cs="Arial"/>
        </w:rPr>
        <w:t xml:space="preserve"> in a tender form should be at least 0.01% and rounded to two decimal places.</w:t>
      </w:r>
    </w:p>
    <w:p w14:paraId="6BF7FCF3" w14:textId="77777777" w:rsidR="00505294" w:rsidRPr="00200547" w:rsidRDefault="00505294">
      <w:pPr>
        <w:pStyle w:val="Body"/>
        <w:rPr>
          <w:rFonts w:cs="Arial"/>
        </w:rPr>
      </w:pPr>
      <w:r w:rsidRPr="00200547">
        <w:rPr>
          <w:rFonts w:cs="Arial"/>
        </w:rPr>
        <w:t xml:space="preserve">Each Qualified Bidder will be required to state in the tender form for the relevant series of </w:t>
      </w:r>
      <w:r w:rsidR="003C0D7C" w:rsidRPr="00200547">
        <w:rPr>
          <w:rFonts w:cs="Arial"/>
        </w:rPr>
        <w:t xml:space="preserve">Additional </w:t>
      </w:r>
      <w:r w:rsidRPr="00200547">
        <w:rPr>
          <w:rFonts w:cs="Arial"/>
        </w:rPr>
        <w:t xml:space="preserve">Bonds the relevant CMU Instrument Number, the specified </w:t>
      </w:r>
      <w:r w:rsidR="003C0D7C" w:rsidRPr="00200547">
        <w:rPr>
          <w:rFonts w:cs="Arial"/>
        </w:rPr>
        <w:t>price</w:t>
      </w:r>
      <w:r w:rsidRPr="00200547">
        <w:rPr>
          <w:rFonts w:cs="Arial"/>
        </w:rPr>
        <w:t xml:space="preserve"> at which the </w:t>
      </w:r>
      <w:r w:rsidR="003C0D7C" w:rsidRPr="00200547">
        <w:rPr>
          <w:rFonts w:cs="Arial"/>
        </w:rPr>
        <w:t xml:space="preserve">Additional </w:t>
      </w:r>
      <w:r w:rsidRPr="00200547">
        <w:rPr>
          <w:rFonts w:cs="Arial"/>
        </w:rPr>
        <w:t xml:space="preserve">Bonds are tendered for and the aggregate nominal amount of the </w:t>
      </w:r>
      <w:r w:rsidR="003C0D7C" w:rsidRPr="00200547">
        <w:rPr>
          <w:rFonts w:cs="Arial"/>
        </w:rPr>
        <w:t xml:space="preserve">Additional </w:t>
      </w:r>
      <w:r w:rsidRPr="00200547">
        <w:rPr>
          <w:rFonts w:cs="Arial"/>
        </w:rPr>
        <w:t>Bonds tendered.</w:t>
      </w:r>
    </w:p>
    <w:p w14:paraId="23AFED31" w14:textId="77777777" w:rsidR="00505294" w:rsidRPr="00200547" w:rsidRDefault="00505294">
      <w:pPr>
        <w:pStyle w:val="Body"/>
        <w:rPr>
          <w:rFonts w:cs="Arial"/>
        </w:rPr>
      </w:pPr>
      <w:r w:rsidRPr="00200547">
        <w:rPr>
          <w:rFonts w:cs="Arial"/>
        </w:rPr>
        <w:t xml:space="preserve">Each tender, in respect of each series of </w:t>
      </w:r>
      <w:r w:rsidR="003C0D7C" w:rsidRPr="00200547">
        <w:rPr>
          <w:rFonts w:cs="Arial"/>
        </w:rPr>
        <w:t xml:space="preserve">Additional </w:t>
      </w:r>
      <w:r w:rsidRPr="00200547">
        <w:rPr>
          <w:rFonts w:cs="Arial"/>
        </w:rPr>
        <w:t xml:space="preserve">Bonds, is subject to a minimum tender amount of RMB500,000 and must be in integral multiples of RMB500,000. </w:t>
      </w:r>
    </w:p>
    <w:p w14:paraId="2F2B2E78" w14:textId="77777777" w:rsidR="00505294" w:rsidRPr="00200547" w:rsidRDefault="00505294">
      <w:pPr>
        <w:pStyle w:val="SubHead"/>
        <w:rPr>
          <w:rFonts w:cs="Arial"/>
          <w:b w:val="0"/>
          <w:bCs/>
          <w:i/>
          <w:iCs/>
        </w:rPr>
      </w:pPr>
      <w:r w:rsidRPr="00200547">
        <w:rPr>
          <w:rFonts w:cs="Arial"/>
          <w:b w:val="0"/>
          <w:bCs/>
          <w:i/>
          <w:iCs/>
        </w:rPr>
        <w:t>Allocation Criteria</w:t>
      </w:r>
    </w:p>
    <w:p w14:paraId="26A277E1" w14:textId="77777777" w:rsidR="00505294" w:rsidRPr="00200547" w:rsidRDefault="00505294">
      <w:pPr>
        <w:pStyle w:val="Body"/>
        <w:rPr>
          <w:rFonts w:cs="Arial"/>
        </w:rPr>
      </w:pPr>
      <w:r w:rsidRPr="00200547">
        <w:rPr>
          <w:rFonts w:cs="Arial"/>
        </w:rPr>
        <w:t xml:space="preserve">Tenders for a series of </w:t>
      </w:r>
      <w:r w:rsidR="003C0D7C" w:rsidRPr="00200547">
        <w:rPr>
          <w:rFonts w:cs="Arial"/>
        </w:rPr>
        <w:t xml:space="preserve">Additional </w:t>
      </w:r>
      <w:r w:rsidRPr="00200547">
        <w:rPr>
          <w:rFonts w:cs="Arial"/>
        </w:rPr>
        <w:t xml:space="preserve">Bonds which are accepted will normally be allotted </w:t>
      </w:r>
      <w:r w:rsidR="003C0D7C" w:rsidRPr="00200547">
        <w:rPr>
          <w:rFonts w:cs="Arial"/>
        </w:rPr>
        <w:t xml:space="preserve">Additional </w:t>
      </w:r>
      <w:r w:rsidRPr="00200547">
        <w:rPr>
          <w:rFonts w:cs="Arial"/>
        </w:rPr>
        <w:t xml:space="preserve">Bonds of the relevant series in </w:t>
      </w:r>
      <w:r w:rsidR="003C0D7C" w:rsidRPr="00200547">
        <w:rPr>
          <w:rFonts w:cs="Arial"/>
        </w:rPr>
        <w:t xml:space="preserve">descending </w:t>
      </w:r>
      <w:r w:rsidRPr="00200547">
        <w:rPr>
          <w:rFonts w:cs="Arial"/>
        </w:rPr>
        <w:t xml:space="preserve">order </w:t>
      </w:r>
      <w:r w:rsidR="003C0D7C" w:rsidRPr="00200547">
        <w:rPr>
          <w:rFonts w:cs="Arial"/>
        </w:rPr>
        <w:t xml:space="preserve">of bid price </w:t>
      </w:r>
      <w:r w:rsidRPr="00200547">
        <w:rPr>
          <w:rFonts w:cs="Arial"/>
        </w:rPr>
        <w:t xml:space="preserve">from the highest </w:t>
      </w:r>
      <w:r w:rsidR="003C0D7C" w:rsidRPr="00200547">
        <w:rPr>
          <w:rFonts w:cs="Arial"/>
        </w:rPr>
        <w:t>to the lowest accepted price</w:t>
      </w:r>
      <w:r w:rsidRPr="00200547">
        <w:rPr>
          <w:rFonts w:cs="Arial"/>
        </w:rPr>
        <w:t xml:space="preserve"> until the nominal amount of the </w:t>
      </w:r>
      <w:r w:rsidR="003C0D7C" w:rsidRPr="00200547">
        <w:rPr>
          <w:rFonts w:cs="Arial"/>
        </w:rPr>
        <w:t xml:space="preserve">Additional </w:t>
      </w:r>
      <w:r w:rsidRPr="00200547">
        <w:rPr>
          <w:rFonts w:cs="Arial"/>
        </w:rPr>
        <w:t xml:space="preserve">Bonds of such accepted tenders equals or exceeds the nominal amount of the relevant series of the </w:t>
      </w:r>
      <w:r w:rsidR="003C0D7C" w:rsidRPr="00200547">
        <w:rPr>
          <w:rFonts w:cs="Arial"/>
        </w:rPr>
        <w:t xml:space="preserve">Additional </w:t>
      </w:r>
      <w:r w:rsidRPr="00200547">
        <w:rPr>
          <w:rFonts w:cs="Arial"/>
        </w:rPr>
        <w:t xml:space="preserve">Bonds available for allotment. </w:t>
      </w:r>
    </w:p>
    <w:p w14:paraId="41DDB4C0" w14:textId="77777777" w:rsidR="00505294" w:rsidRPr="00200547" w:rsidRDefault="00505294">
      <w:pPr>
        <w:pStyle w:val="Body"/>
        <w:rPr>
          <w:rFonts w:cs="Arial"/>
        </w:rPr>
      </w:pPr>
      <w:r w:rsidRPr="00200547">
        <w:rPr>
          <w:rFonts w:cs="Arial"/>
        </w:rPr>
        <w:t xml:space="preserve">Subject to the next paragraph, tenders which are accepted </w:t>
      </w:r>
      <w:r w:rsidR="003C0D7C" w:rsidRPr="00200547">
        <w:rPr>
          <w:rFonts w:cs="Arial"/>
        </w:rPr>
        <w:t xml:space="preserve">and which are above the lowest accepted price </w:t>
      </w:r>
      <w:r w:rsidRPr="00200547">
        <w:rPr>
          <w:rFonts w:cs="Arial"/>
        </w:rPr>
        <w:t>will be allotted</w:t>
      </w:r>
      <w:r w:rsidR="003C0D7C" w:rsidRPr="00200547">
        <w:rPr>
          <w:rFonts w:cs="Arial"/>
        </w:rPr>
        <w:t xml:space="preserve"> the relevant series of Additional</w:t>
      </w:r>
      <w:r w:rsidRPr="00200547">
        <w:rPr>
          <w:rFonts w:cs="Arial"/>
        </w:rPr>
        <w:t xml:space="preserve"> Bonds in full; those which are accepted and which are at the </w:t>
      </w:r>
      <w:r w:rsidR="003C0D7C" w:rsidRPr="00200547">
        <w:rPr>
          <w:rFonts w:cs="Arial"/>
        </w:rPr>
        <w:t xml:space="preserve">lowest </w:t>
      </w:r>
      <w:r w:rsidRPr="00200547">
        <w:rPr>
          <w:rFonts w:cs="Arial"/>
        </w:rPr>
        <w:t xml:space="preserve">accepted </w:t>
      </w:r>
      <w:r w:rsidR="003C0D7C" w:rsidRPr="00200547">
        <w:rPr>
          <w:rFonts w:cs="Arial"/>
        </w:rPr>
        <w:t>price</w:t>
      </w:r>
      <w:r w:rsidRPr="00200547">
        <w:rPr>
          <w:rFonts w:cs="Arial"/>
        </w:rPr>
        <w:t xml:space="preserve"> may be allotted </w:t>
      </w:r>
      <w:r w:rsidR="003C0D7C" w:rsidRPr="00200547">
        <w:rPr>
          <w:rFonts w:cs="Arial"/>
        </w:rPr>
        <w:t xml:space="preserve">the relevant series of Additional </w:t>
      </w:r>
      <w:r w:rsidRPr="00200547">
        <w:rPr>
          <w:rFonts w:cs="Arial"/>
        </w:rPr>
        <w:t xml:space="preserve">Bonds in full or in part or, in the event a ballot is required as described below, no </w:t>
      </w:r>
      <w:r w:rsidR="00F25E99" w:rsidRPr="00200547">
        <w:rPr>
          <w:rFonts w:cs="Arial"/>
        </w:rPr>
        <w:t xml:space="preserve">Additional </w:t>
      </w:r>
      <w:r w:rsidRPr="00200547">
        <w:rPr>
          <w:rFonts w:cs="Arial"/>
        </w:rPr>
        <w:t xml:space="preserve">Bonds at all. In the case of allotment in part, a calculation will be made of the amount of </w:t>
      </w:r>
      <w:r w:rsidR="00774C13" w:rsidRPr="00200547">
        <w:rPr>
          <w:rFonts w:cs="Arial"/>
        </w:rPr>
        <w:t xml:space="preserve">the relevant series of Additional </w:t>
      </w:r>
      <w:r w:rsidRPr="00200547">
        <w:rPr>
          <w:rFonts w:cs="Arial"/>
        </w:rPr>
        <w:t xml:space="preserve">Bonds available for allotment at the </w:t>
      </w:r>
      <w:r w:rsidR="00E86353" w:rsidRPr="00200547">
        <w:rPr>
          <w:rFonts w:cs="Arial"/>
        </w:rPr>
        <w:t xml:space="preserve">lowest </w:t>
      </w:r>
      <w:r w:rsidRPr="00200547">
        <w:rPr>
          <w:rFonts w:cs="Arial"/>
        </w:rPr>
        <w:t xml:space="preserve">accepted </w:t>
      </w:r>
      <w:r w:rsidR="003C0D7C" w:rsidRPr="00200547">
        <w:rPr>
          <w:rFonts w:cs="Arial"/>
        </w:rPr>
        <w:t>price</w:t>
      </w:r>
      <w:r w:rsidRPr="00200547">
        <w:rPr>
          <w:rFonts w:cs="Arial"/>
        </w:rPr>
        <w:t xml:space="preserve"> as a percentage (the “</w:t>
      </w:r>
      <w:r w:rsidRPr="00200547">
        <w:rPr>
          <w:rFonts w:cs="Arial"/>
          <w:b/>
        </w:rPr>
        <w:t>pro-rata percentage</w:t>
      </w:r>
      <w:r w:rsidRPr="00200547">
        <w:rPr>
          <w:rFonts w:cs="Arial"/>
        </w:rPr>
        <w:t xml:space="preserve">”) of the total amount applied for at that </w:t>
      </w:r>
      <w:r w:rsidR="003C0D7C" w:rsidRPr="00200547">
        <w:rPr>
          <w:rFonts w:cs="Arial"/>
        </w:rPr>
        <w:t>price</w:t>
      </w:r>
      <w:r w:rsidRPr="00200547">
        <w:rPr>
          <w:rFonts w:cs="Arial"/>
        </w:rPr>
        <w:t xml:space="preserve">. As far as possible the pro-rata percentage will be applied to the amount of </w:t>
      </w:r>
      <w:r w:rsidR="00E86353" w:rsidRPr="00200547">
        <w:rPr>
          <w:rFonts w:cs="Arial"/>
        </w:rPr>
        <w:t xml:space="preserve">the relevant series of Additional </w:t>
      </w:r>
      <w:r w:rsidRPr="00200547">
        <w:rPr>
          <w:rFonts w:cs="Arial"/>
        </w:rPr>
        <w:t xml:space="preserve">Bonds tendered by Qualified Bidders at the accepted </w:t>
      </w:r>
      <w:r w:rsidR="00E86353" w:rsidRPr="00200547">
        <w:rPr>
          <w:rFonts w:cs="Arial"/>
        </w:rPr>
        <w:t xml:space="preserve">lowest </w:t>
      </w:r>
      <w:r w:rsidR="003C0D7C" w:rsidRPr="00200547">
        <w:rPr>
          <w:rFonts w:cs="Arial"/>
        </w:rPr>
        <w:t>price</w:t>
      </w:r>
      <w:r w:rsidRPr="00200547">
        <w:rPr>
          <w:rFonts w:cs="Arial"/>
        </w:rPr>
        <w:t xml:space="preserve">, rounded down to the nearest multiple of RMB500,000. The remaining nominal amount of Bonds shall be reserved and aggregated to reach the denomination of the </w:t>
      </w:r>
      <w:r w:rsidR="00E86353" w:rsidRPr="00200547">
        <w:rPr>
          <w:rFonts w:cs="Arial"/>
        </w:rPr>
        <w:t xml:space="preserve">Additional </w:t>
      </w:r>
      <w:r w:rsidRPr="00200547">
        <w:rPr>
          <w:rFonts w:cs="Arial"/>
        </w:rPr>
        <w:t>Bonds (i.e. RMB500,000) for allotment by way of balloting.</w:t>
      </w:r>
    </w:p>
    <w:p w14:paraId="716C048F" w14:textId="77777777" w:rsidR="00505294" w:rsidRPr="00200547" w:rsidRDefault="00505294">
      <w:pPr>
        <w:pStyle w:val="Body"/>
        <w:rPr>
          <w:rFonts w:cs="Arial"/>
        </w:rPr>
      </w:pPr>
      <w:r w:rsidRPr="00200547">
        <w:rPr>
          <w:rFonts w:cs="Arial"/>
        </w:rPr>
        <w:t xml:space="preserve">The Ministry of Finance reserves the right not to allot all the </w:t>
      </w:r>
      <w:r w:rsidR="00E86353" w:rsidRPr="00200547">
        <w:rPr>
          <w:rFonts w:cs="Arial"/>
        </w:rPr>
        <w:t xml:space="preserve">Additional </w:t>
      </w:r>
      <w:r w:rsidRPr="00200547">
        <w:rPr>
          <w:rFonts w:cs="Arial"/>
        </w:rPr>
        <w:t>Bonds on offer or to scale down the allotment to a successful bidder.</w:t>
      </w:r>
    </w:p>
    <w:p w14:paraId="57F7E7D8" w14:textId="77777777" w:rsidR="00505294" w:rsidRPr="00200547" w:rsidRDefault="00505294">
      <w:pPr>
        <w:pStyle w:val="Body"/>
        <w:rPr>
          <w:rFonts w:cs="Arial"/>
        </w:rPr>
      </w:pPr>
      <w:r w:rsidRPr="00200547">
        <w:rPr>
          <w:rFonts w:cs="Arial"/>
        </w:rPr>
        <w:t xml:space="preserve">The </w:t>
      </w:r>
      <w:r w:rsidR="00E86353" w:rsidRPr="00200547">
        <w:rPr>
          <w:rFonts w:cs="Arial"/>
        </w:rPr>
        <w:t xml:space="preserve">lowest </w:t>
      </w:r>
      <w:r w:rsidRPr="00200547">
        <w:rPr>
          <w:rFonts w:cs="Arial"/>
        </w:rPr>
        <w:t xml:space="preserve">accepted </w:t>
      </w:r>
      <w:r w:rsidR="003C0D7C" w:rsidRPr="00200547">
        <w:rPr>
          <w:rFonts w:cs="Arial"/>
        </w:rPr>
        <w:t>price</w:t>
      </w:r>
      <w:r w:rsidRPr="00200547">
        <w:rPr>
          <w:rFonts w:cs="Arial"/>
        </w:rPr>
        <w:t xml:space="preserve"> of each series of </w:t>
      </w:r>
      <w:r w:rsidR="00E86353" w:rsidRPr="00200547">
        <w:rPr>
          <w:rFonts w:cs="Arial"/>
        </w:rPr>
        <w:t xml:space="preserve">Additional </w:t>
      </w:r>
      <w:r w:rsidRPr="00200547">
        <w:rPr>
          <w:rFonts w:cs="Arial"/>
        </w:rPr>
        <w:t xml:space="preserve">Bonds determined in accordance with the above procedures will be the </w:t>
      </w:r>
      <w:r w:rsidR="00E86353" w:rsidRPr="00200547">
        <w:rPr>
          <w:rFonts w:cs="Arial"/>
        </w:rPr>
        <w:t xml:space="preserve">issue </w:t>
      </w:r>
      <w:r w:rsidR="003C0D7C" w:rsidRPr="00200547">
        <w:rPr>
          <w:rFonts w:cs="Arial"/>
        </w:rPr>
        <w:t>price</w:t>
      </w:r>
      <w:r w:rsidRPr="00200547">
        <w:rPr>
          <w:rFonts w:cs="Arial"/>
        </w:rPr>
        <w:t xml:space="preserve"> of the relevant series of </w:t>
      </w:r>
      <w:r w:rsidR="00E86353" w:rsidRPr="00200547">
        <w:rPr>
          <w:rFonts w:cs="Arial"/>
        </w:rPr>
        <w:t xml:space="preserve">Additional </w:t>
      </w:r>
      <w:r w:rsidRPr="00200547">
        <w:rPr>
          <w:rFonts w:cs="Arial"/>
        </w:rPr>
        <w:t>Bonds.</w:t>
      </w:r>
    </w:p>
    <w:p w14:paraId="5C863A16" w14:textId="77777777" w:rsidR="00505294" w:rsidRPr="00200547" w:rsidRDefault="00505294">
      <w:pPr>
        <w:pStyle w:val="SubHead"/>
        <w:rPr>
          <w:rFonts w:cs="Arial"/>
        </w:rPr>
      </w:pPr>
      <w:r w:rsidRPr="00200547">
        <w:rPr>
          <w:rFonts w:cs="Arial"/>
        </w:rPr>
        <w:t>Tender Results and Announcement</w:t>
      </w:r>
    </w:p>
    <w:p w14:paraId="1C517A98" w14:textId="5E97B3A3" w:rsidR="00597F72" w:rsidRDefault="00597F72" w:rsidP="00E86353">
      <w:pPr>
        <w:pStyle w:val="Body"/>
        <w:rPr>
          <w:rFonts w:cs="Arial"/>
        </w:rPr>
      </w:pPr>
      <w:r>
        <w:rPr>
          <w:rFonts w:cs="Arial"/>
        </w:rPr>
        <w:t>In respect of the Additional 2023 Bonds</w:t>
      </w:r>
      <w:r w:rsidR="00217204">
        <w:rPr>
          <w:rFonts w:cs="Arial"/>
        </w:rPr>
        <w:t xml:space="preserve"> and the Additional 2026 Bonds</w:t>
      </w:r>
      <w:r>
        <w:rPr>
          <w:rFonts w:cs="Arial"/>
        </w:rPr>
        <w:t xml:space="preserve">, </w:t>
      </w:r>
      <w:r w:rsidR="00505294" w:rsidRPr="00200547">
        <w:rPr>
          <w:rFonts w:cs="Arial"/>
        </w:rPr>
        <w:t>Qualified Bidders whose tenders have been successful in whole or in part will be notified of their allotment of the</w:t>
      </w:r>
      <w:r w:rsidR="00217204">
        <w:rPr>
          <w:rFonts w:cs="Arial"/>
        </w:rPr>
        <w:t xml:space="preserve"> relevant</w:t>
      </w:r>
      <w:r w:rsidR="00505294" w:rsidRPr="00200547">
        <w:rPr>
          <w:rFonts w:cs="Arial"/>
        </w:rPr>
        <w:t xml:space="preserve"> </w:t>
      </w:r>
      <w:r w:rsidR="00E86353" w:rsidRPr="00200547">
        <w:rPr>
          <w:rFonts w:cs="Arial"/>
        </w:rPr>
        <w:t>Additional Bonds and amount payable (including an amount equal to the interest accrued on such Additional Bonds from (and including) the</w:t>
      </w:r>
      <w:r w:rsidR="00217204">
        <w:rPr>
          <w:rFonts w:cs="Arial"/>
        </w:rPr>
        <w:t>ir</w:t>
      </w:r>
      <w:r w:rsidR="00E86353" w:rsidRPr="00200547">
        <w:rPr>
          <w:rFonts w:cs="Arial"/>
        </w:rPr>
        <w:t xml:space="preserve"> Original Issue Date to (but excluding) the Further Issue Date)</w:t>
      </w:r>
      <w:r w:rsidR="00505294" w:rsidRPr="00200547">
        <w:rPr>
          <w:rFonts w:cs="Arial"/>
        </w:rPr>
        <w:t xml:space="preserve"> as soon as practicable after the allotment. </w:t>
      </w:r>
      <w:r w:rsidR="00632DE1">
        <w:rPr>
          <w:rFonts w:cs="Arial"/>
        </w:rPr>
        <w:t>In respect of the Additional 2031 Bonds, Qualified Bidders whose tenders have been successful in whole or in part will be notified of their allotment of the Additional 2031 Bonds and amount payable (including an amount equal to the interest accrued on the 2031 Bonds from (and including) their last Interest Payment Date immediately prior to the Further Issue Date to (but excluding) the Further Issue Date) as soon as practicable after the allotment.</w:t>
      </w:r>
    </w:p>
    <w:p w14:paraId="246F380F" w14:textId="34E3A584" w:rsidR="00505294" w:rsidRPr="00200547" w:rsidRDefault="00505294" w:rsidP="00E86353">
      <w:pPr>
        <w:pStyle w:val="Body"/>
        <w:rPr>
          <w:rFonts w:cs="Arial"/>
        </w:rPr>
      </w:pPr>
      <w:r w:rsidRPr="00200547">
        <w:rPr>
          <w:rFonts w:cs="Arial"/>
        </w:rPr>
        <w:t xml:space="preserve">The </w:t>
      </w:r>
      <w:r w:rsidR="00E86353" w:rsidRPr="00200547">
        <w:rPr>
          <w:rFonts w:cs="Arial"/>
        </w:rPr>
        <w:t xml:space="preserve">issue </w:t>
      </w:r>
      <w:r w:rsidR="003C0D7C" w:rsidRPr="00200547">
        <w:rPr>
          <w:rFonts w:cs="Arial"/>
        </w:rPr>
        <w:t>price</w:t>
      </w:r>
      <w:r w:rsidRPr="00200547">
        <w:rPr>
          <w:rFonts w:cs="Arial"/>
        </w:rPr>
        <w:t xml:space="preserve"> at which the </w:t>
      </w:r>
      <w:r w:rsidR="00E86353" w:rsidRPr="00200547">
        <w:rPr>
          <w:rFonts w:cs="Arial"/>
        </w:rPr>
        <w:t xml:space="preserve">Additional </w:t>
      </w:r>
      <w:r w:rsidRPr="00200547">
        <w:rPr>
          <w:rFonts w:cs="Arial"/>
        </w:rPr>
        <w:t xml:space="preserve">Bonds have been </w:t>
      </w:r>
      <w:r w:rsidR="00E86353" w:rsidRPr="00200547">
        <w:rPr>
          <w:rFonts w:cs="Arial"/>
        </w:rPr>
        <w:t xml:space="preserve">issued </w:t>
      </w:r>
      <w:r w:rsidRPr="00200547">
        <w:rPr>
          <w:rFonts w:cs="Arial"/>
        </w:rPr>
        <w:t xml:space="preserve">and the total nominal amount of </w:t>
      </w:r>
      <w:r w:rsidR="00E86353" w:rsidRPr="00200547">
        <w:rPr>
          <w:rFonts w:cs="Arial"/>
        </w:rPr>
        <w:t xml:space="preserve">the Additional </w:t>
      </w:r>
      <w:r w:rsidRPr="00200547">
        <w:rPr>
          <w:rFonts w:cs="Arial"/>
        </w:rPr>
        <w:t>Bonds allotted in the tender will be announced not later than 5:00 p.m. Hong Kong time on the Tender Date through the website of the HKMA and the CMU Bond Price Bulletin.</w:t>
      </w:r>
    </w:p>
    <w:p w14:paraId="59C657A9" w14:textId="77777777" w:rsidR="00505294" w:rsidRPr="00200547" w:rsidRDefault="00505294">
      <w:pPr>
        <w:pStyle w:val="SubHead"/>
        <w:rPr>
          <w:rFonts w:cs="Arial"/>
        </w:rPr>
      </w:pPr>
      <w:r w:rsidRPr="00200547">
        <w:rPr>
          <w:rFonts w:cs="Arial"/>
        </w:rPr>
        <w:t>Settlement</w:t>
      </w:r>
    </w:p>
    <w:p w14:paraId="291DE1C9" w14:textId="77777777" w:rsidR="00BB538F" w:rsidRPr="00CF1825" w:rsidRDefault="00505294" w:rsidP="00BB538F">
      <w:pPr>
        <w:pStyle w:val="Body"/>
        <w:rPr>
          <w:rFonts w:cs="Arial"/>
        </w:rPr>
      </w:pPr>
      <w:r w:rsidRPr="00CF1825">
        <w:rPr>
          <w:rFonts w:cs="Arial"/>
        </w:rPr>
        <w:t xml:space="preserve">Each series of Bonds </w:t>
      </w:r>
      <w:r w:rsidR="00E86353" w:rsidRPr="00CF1825">
        <w:rPr>
          <w:rFonts w:cs="Arial"/>
        </w:rPr>
        <w:t>are</w:t>
      </w:r>
      <w:r w:rsidRPr="00CF1825">
        <w:rPr>
          <w:rFonts w:cs="Arial"/>
        </w:rPr>
        <w:t xml:space="preserve"> represented by a global bond</w:t>
      </w:r>
      <w:r w:rsidR="00CF1825" w:rsidRPr="00CF1825">
        <w:rPr>
          <w:rFonts w:cs="Arial"/>
        </w:rPr>
        <w:t>. The Ministry of Finance will deposit the</w:t>
      </w:r>
      <w:r w:rsidR="00BB538F">
        <w:rPr>
          <w:rFonts w:cs="Arial"/>
        </w:rPr>
        <w:t xml:space="preserve"> </w:t>
      </w:r>
      <w:r w:rsidR="00CF1825" w:rsidRPr="00CF1825">
        <w:rPr>
          <w:rFonts w:cs="Arial"/>
        </w:rPr>
        <w:t xml:space="preserve">global bond with a sub-custodian nominated by the CMU before </w:t>
      </w:r>
      <w:r w:rsidR="00A446D7">
        <w:rPr>
          <w:rFonts w:cs="Arial"/>
        </w:rPr>
        <w:t>11</w:t>
      </w:r>
      <w:r w:rsidR="00CF1825" w:rsidRPr="00CF1825">
        <w:rPr>
          <w:rFonts w:cs="Arial"/>
        </w:rPr>
        <w:t xml:space="preserve">:00 </w:t>
      </w:r>
      <w:r w:rsidR="00A446D7">
        <w:rPr>
          <w:rFonts w:cs="Arial"/>
        </w:rPr>
        <w:t>a</w:t>
      </w:r>
      <w:r w:rsidR="00CF1825" w:rsidRPr="00CF1825">
        <w:rPr>
          <w:rFonts w:cs="Arial"/>
        </w:rPr>
        <w:t>.m. Hong Kong time (or</w:t>
      </w:r>
      <w:r w:rsidR="00CF1825">
        <w:rPr>
          <w:rFonts w:cs="Arial"/>
        </w:rPr>
        <w:t xml:space="preserve"> </w:t>
      </w:r>
      <w:r w:rsidR="00CF1825" w:rsidRPr="00CF1825">
        <w:rPr>
          <w:rFonts w:cs="Arial"/>
        </w:rPr>
        <w:t xml:space="preserve">such other time as may be agreed between the Issuing and Lodging Agent and the CMU) on the </w:t>
      </w:r>
      <w:r w:rsidR="00A446D7">
        <w:rPr>
          <w:rFonts w:cs="Arial"/>
        </w:rPr>
        <w:t>Further Issue</w:t>
      </w:r>
      <w:r w:rsidR="00A446D7" w:rsidRPr="00CF1825">
        <w:rPr>
          <w:rFonts w:cs="Arial"/>
        </w:rPr>
        <w:t xml:space="preserve"> </w:t>
      </w:r>
      <w:r w:rsidR="00CF1825" w:rsidRPr="00CF1825">
        <w:rPr>
          <w:rFonts w:cs="Arial"/>
        </w:rPr>
        <w:t>Date through the Issuing and Lodging Agent</w:t>
      </w:r>
      <w:r w:rsidRPr="00CF1825">
        <w:rPr>
          <w:rFonts w:cs="Arial"/>
        </w:rPr>
        <w:t xml:space="preserve">. </w:t>
      </w:r>
    </w:p>
    <w:p w14:paraId="7A6BAB5E" w14:textId="77777777" w:rsidR="00505294" w:rsidRPr="00200547" w:rsidRDefault="00505294">
      <w:pPr>
        <w:pStyle w:val="Body"/>
        <w:rPr>
          <w:rFonts w:cs="Arial"/>
        </w:rPr>
      </w:pPr>
      <w:r w:rsidRPr="00200547">
        <w:rPr>
          <w:rFonts w:cs="Arial"/>
        </w:rPr>
        <w:t xml:space="preserve">Settlement of payments for, and issue of, the </w:t>
      </w:r>
      <w:r w:rsidR="00E86353" w:rsidRPr="00200547">
        <w:rPr>
          <w:rFonts w:cs="Arial"/>
        </w:rPr>
        <w:t xml:space="preserve">Additional </w:t>
      </w:r>
      <w:r w:rsidRPr="00200547">
        <w:rPr>
          <w:rFonts w:cs="Arial"/>
        </w:rPr>
        <w:t>Bonds will be for value on the</w:t>
      </w:r>
      <w:r w:rsidR="00E86353" w:rsidRPr="00200547">
        <w:rPr>
          <w:rFonts w:cs="Arial"/>
        </w:rPr>
        <w:t xml:space="preserve"> Further</w:t>
      </w:r>
      <w:r w:rsidRPr="00200547">
        <w:rPr>
          <w:rFonts w:cs="Arial"/>
        </w:rPr>
        <w:t xml:space="preserve"> Issue Date. On the </w:t>
      </w:r>
      <w:r w:rsidRPr="00BB538F">
        <w:rPr>
          <w:rFonts w:cs="Arial"/>
        </w:rPr>
        <w:t>second</w:t>
      </w:r>
      <w:r w:rsidRPr="00200547">
        <w:rPr>
          <w:rFonts w:cs="Arial"/>
        </w:rPr>
        <w:t xml:space="preserve"> </w:t>
      </w:r>
      <w:r w:rsidR="00E86353" w:rsidRPr="00200547">
        <w:rPr>
          <w:rFonts w:cs="Arial"/>
        </w:rPr>
        <w:t xml:space="preserve">Settlement </w:t>
      </w:r>
      <w:r w:rsidRPr="00200547">
        <w:rPr>
          <w:rFonts w:cs="Arial"/>
        </w:rPr>
        <w:t xml:space="preserve">Business Day after the Tender Date, the issuance, payment and settlement of the </w:t>
      </w:r>
      <w:r w:rsidR="00E86353" w:rsidRPr="00200547">
        <w:rPr>
          <w:rFonts w:cs="Arial"/>
        </w:rPr>
        <w:t xml:space="preserve">Additional </w:t>
      </w:r>
      <w:r w:rsidRPr="00200547">
        <w:rPr>
          <w:rFonts w:cs="Arial"/>
        </w:rPr>
        <w:t>Bonds will be made through the CMU and the RMB RTGS System on the DvP basis in accordance with the Operating Procedures.</w:t>
      </w:r>
    </w:p>
    <w:p w14:paraId="0F9A1CB4" w14:textId="77777777" w:rsidR="00505294" w:rsidRPr="00200547" w:rsidRDefault="00505294">
      <w:pPr>
        <w:pStyle w:val="Body"/>
        <w:rPr>
          <w:rFonts w:cs="Arial"/>
        </w:rPr>
      </w:pPr>
      <w:r w:rsidRPr="00200547">
        <w:rPr>
          <w:rFonts w:cs="Arial"/>
        </w:rPr>
        <w:t xml:space="preserve">If for any reason the specified </w:t>
      </w:r>
      <w:r w:rsidR="00E86353" w:rsidRPr="00200547">
        <w:rPr>
          <w:rFonts w:cs="Arial"/>
        </w:rPr>
        <w:t xml:space="preserve">Further </w:t>
      </w:r>
      <w:r w:rsidRPr="00200547">
        <w:rPr>
          <w:rFonts w:cs="Arial"/>
        </w:rPr>
        <w:t xml:space="preserve">Issue Date of any series of </w:t>
      </w:r>
      <w:r w:rsidR="00E86353" w:rsidRPr="00200547">
        <w:rPr>
          <w:rFonts w:cs="Arial"/>
        </w:rPr>
        <w:t xml:space="preserve">Additional </w:t>
      </w:r>
      <w:r w:rsidRPr="00200547">
        <w:rPr>
          <w:rFonts w:cs="Arial"/>
        </w:rPr>
        <w:t xml:space="preserve">Bonds is not a </w:t>
      </w:r>
      <w:r w:rsidR="00E86353" w:rsidRPr="00200547">
        <w:rPr>
          <w:rFonts w:cs="Arial"/>
        </w:rPr>
        <w:t xml:space="preserve">Settlement </w:t>
      </w:r>
      <w:r w:rsidRPr="00200547">
        <w:rPr>
          <w:rFonts w:cs="Arial"/>
        </w:rPr>
        <w:t xml:space="preserve">Business Day, payment by the Qualified Bidders whose tenders are accepted may be made on the next following </w:t>
      </w:r>
      <w:r w:rsidR="00E86353" w:rsidRPr="00200547">
        <w:rPr>
          <w:rFonts w:cs="Arial"/>
        </w:rPr>
        <w:t xml:space="preserve">Settlement </w:t>
      </w:r>
      <w:r w:rsidRPr="00200547">
        <w:rPr>
          <w:rFonts w:cs="Arial"/>
        </w:rPr>
        <w:t xml:space="preserve">Business Day which shall then be automatically designated as the </w:t>
      </w:r>
      <w:r w:rsidR="00E86353" w:rsidRPr="00200547">
        <w:rPr>
          <w:rFonts w:cs="Arial"/>
        </w:rPr>
        <w:t xml:space="preserve">Further </w:t>
      </w:r>
      <w:r w:rsidRPr="00200547">
        <w:rPr>
          <w:rFonts w:cs="Arial"/>
        </w:rPr>
        <w:t>Issue Date.</w:t>
      </w:r>
    </w:p>
    <w:p w14:paraId="264BDA11" w14:textId="77777777" w:rsidR="00505294" w:rsidRPr="00200547" w:rsidRDefault="00505294">
      <w:pPr>
        <w:pStyle w:val="SubHead"/>
        <w:rPr>
          <w:rFonts w:cs="Arial"/>
        </w:rPr>
      </w:pPr>
      <w:r w:rsidRPr="00200547">
        <w:rPr>
          <w:rFonts w:cs="Arial"/>
        </w:rPr>
        <w:t>Transfers of Bonds between the Securities Accounts maintained with the CMU</w:t>
      </w:r>
    </w:p>
    <w:p w14:paraId="46F98C40" w14:textId="77777777" w:rsidR="00505294" w:rsidRPr="00200547" w:rsidRDefault="00505294">
      <w:pPr>
        <w:pStyle w:val="Body"/>
        <w:rPr>
          <w:rFonts w:cs="Arial"/>
        </w:rPr>
      </w:pPr>
      <w:r w:rsidRPr="00200547">
        <w:rPr>
          <w:rFonts w:cs="Arial"/>
        </w:rPr>
        <w:t>Transfer of interests in the Bonds may be effected through the holders of the Bonds (in the case that they hold accounts with the CMU), their direct or indirect custodians with the CMU (in the case that they do not hold accounts with the CMU), Hong Kong Securities Clearing Company Limited (“</w:t>
      </w:r>
      <w:r w:rsidRPr="00200547">
        <w:rPr>
          <w:rFonts w:cs="Arial"/>
          <w:b/>
          <w:bCs/>
        </w:rPr>
        <w:t>HKSCC</w:t>
      </w:r>
      <w:r w:rsidRPr="00200547">
        <w:rPr>
          <w:rFonts w:cs="Arial"/>
        </w:rPr>
        <w:t xml:space="preserve">”) or their securities brokers. The Bonds held with the CMU can be transferred from the securities account of a CMU Member to the securities account of another CMU Member through book entries. </w:t>
      </w:r>
    </w:p>
    <w:p w14:paraId="6E86576D" w14:textId="77777777" w:rsidR="00505294" w:rsidRPr="00200547" w:rsidRDefault="00505294">
      <w:pPr>
        <w:pStyle w:val="Body"/>
        <w:rPr>
          <w:rFonts w:cs="Arial"/>
        </w:rPr>
      </w:pPr>
      <w:r w:rsidRPr="00200547">
        <w:rPr>
          <w:rFonts w:cs="Arial"/>
        </w:rPr>
        <w:t>All transfers are subject to the Operating Procedures.</w:t>
      </w:r>
    </w:p>
    <w:p w14:paraId="32D4EB2E" w14:textId="77777777" w:rsidR="00505294" w:rsidRPr="00200547" w:rsidRDefault="00505294">
      <w:pPr>
        <w:pStyle w:val="Body"/>
        <w:keepNext/>
        <w:pageBreakBefore/>
        <w:jc w:val="center"/>
        <w:rPr>
          <w:rFonts w:eastAsia="SimHei" w:cs="Arial"/>
          <w:b/>
          <w:sz w:val="24"/>
          <w:lang w:eastAsia="zh-CN"/>
        </w:rPr>
      </w:pPr>
      <w:r w:rsidRPr="00200547">
        <w:rPr>
          <w:rFonts w:eastAsia="SimHei" w:cs="Arial"/>
          <w:b/>
          <w:sz w:val="24"/>
          <w:lang w:eastAsia="zh-CN"/>
        </w:rPr>
        <w:t>DESCRIPTION OF THE BONDS</w:t>
      </w:r>
    </w:p>
    <w:p w14:paraId="2D4F23D8" w14:textId="77777777" w:rsidR="00505294" w:rsidRPr="00200547" w:rsidRDefault="00505294">
      <w:pPr>
        <w:pStyle w:val="SubHead"/>
        <w:rPr>
          <w:rFonts w:cs="Arial"/>
        </w:rPr>
      </w:pPr>
      <w:r w:rsidRPr="00200547">
        <w:rPr>
          <w:rFonts w:cs="Arial"/>
        </w:rPr>
        <w:t>General</w:t>
      </w:r>
    </w:p>
    <w:p w14:paraId="501EF108" w14:textId="77777777" w:rsidR="00505294" w:rsidRPr="00200547" w:rsidRDefault="00505294">
      <w:pPr>
        <w:pStyle w:val="Body"/>
        <w:rPr>
          <w:rFonts w:cs="Arial"/>
        </w:rPr>
      </w:pPr>
      <w:r w:rsidRPr="00200547">
        <w:rPr>
          <w:rFonts w:cs="Arial"/>
        </w:rPr>
        <w:t xml:space="preserve">The Ministry of Finance is the issuer of the Bonds. The full faith and credit of the Central People’s Government is pledged for the due and punctual payment of the Bonds and for the due and timely performance of all obligations of the Central People’s Government with respect to the Bonds. </w:t>
      </w:r>
    </w:p>
    <w:p w14:paraId="4E119865" w14:textId="241DB19A" w:rsidR="00505294" w:rsidRPr="00200547" w:rsidRDefault="00505294">
      <w:pPr>
        <w:pStyle w:val="Body"/>
        <w:rPr>
          <w:rFonts w:cs="Arial"/>
        </w:rPr>
      </w:pPr>
      <w:r w:rsidRPr="00200547">
        <w:rPr>
          <w:rFonts w:cs="Arial"/>
        </w:rPr>
        <w:t xml:space="preserve">The Bonds have been included in the </w:t>
      </w:r>
      <w:r w:rsidR="00F721C2">
        <w:rPr>
          <w:rFonts w:cs="Arial"/>
        </w:rPr>
        <w:t>2021</w:t>
      </w:r>
      <w:r w:rsidR="001751D7" w:rsidRPr="00200547">
        <w:rPr>
          <w:rFonts w:cs="Arial"/>
        </w:rPr>
        <w:t xml:space="preserve"> </w:t>
      </w:r>
      <w:r w:rsidRPr="00200547">
        <w:rPr>
          <w:rFonts w:cs="Arial"/>
        </w:rPr>
        <w:t>Treasury Bond Issuance Plan approved by the National People’s Congress of the People’s Republic of China.</w:t>
      </w:r>
    </w:p>
    <w:p w14:paraId="14104864" w14:textId="6C939DC8" w:rsidR="00505294" w:rsidRPr="00200547" w:rsidRDefault="00505294">
      <w:pPr>
        <w:pStyle w:val="Body"/>
        <w:rPr>
          <w:rFonts w:cs="Arial"/>
        </w:rPr>
      </w:pPr>
      <w:r w:rsidRPr="00200547">
        <w:rPr>
          <w:rFonts w:cs="Arial"/>
        </w:rPr>
        <w:t xml:space="preserve">Treasury </w:t>
      </w:r>
      <w:r w:rsidR="00F36033">
        <w:rPr>
          <w:rFonts w:cs="Arial"/>
        </w:rPr>
        <w:t>b</w:t>
      </w:r>
      <w:r w:rsidR="00F36033" w:rsidRPr="00200547">
        <w:rPr>
          <w:rFonts w:cs="Arial"/>
        </w:rPr>
        <w:t xml:space="preserve">onds </w:t>
      </w:r>
      <w:r w:rsidRPr="00200547">
        <w:rPr>
          <w:rFonts w:cs="Arial"/>
        </w:rPr>
        <w:t xml:space="preserve">are the principal component of the Central People’s Government’s indebtedness. With the approval of the Standing Committee of the National People’s Congress, treasury bonds have been managed based on their outstanding balance since 2006. In </w:t>
      </w:r>
      <w:r w:rsidR="00F721C2">
        <w:rPr>
          <w:rFonts w:cs="Arial"/>
        </w:rPr>
        <w:t>2021</w:t>
      </w:r>
      <w:r w:rsidRPr="00200547">
        <w:rPr>
          <w:rFonts w:cs="Arial"/>
        </w:rPr>
        <w:t xml:space="preserve">, the limit on the outstanding balance of the Central People’s Government’s treasury bonds is </w:t>
      </w:r>
      <w:r w:rsidR="00F721C2">
        <w:rPr>
          <w:rFonts w:cs="Arial"/>
        </w:rPr>
        <w:t xml:space="preserve">RMB24,050.835 billion. </w:t>
      </w:r>
    </w:p>
    <w:p w14:paraId="4FB5D4CE" w14:textId="33020EE6" w:rsidR="00505294" w:rsidRPr="00200547" w:rsidRDefault="00505294">
      <w:pPr>
        <w:pStyle w:val="Body"/>
        <w:rPr>
          <w:rFonts w:cs="Arial"/>
        </w:rPr>
      </w:pPr>
      <w:r w:rsidRPr="00200547">
        <w:rPr>
          <w:rFonts w:cs="Arial"/>
        </w:rPr>
        <w:t>The Bonds are to be issued under the Fiscal Agency Agreement. The Bonds will be subject to the terms and conditions of the Bonds scheduled to the Fiscal Agency Agreement.</w:t>
      </w:r>
    </w:p>
    <w:p w14:paraId="0DB1D0AF" w14:textId="04897AAE" w:rsidR="00505294" w:rsidRPr="00200547" w:rsidRDefault="00505294">
      <w:pPr>
        <w:pStyle w:val="Body"/>
        <w:rPr>
          <w:rFonts w:cs="Arial"/>
        </w:rPr>
      </w:pPr>
      <w:r w:rsidRPr="00200547">
        <w:rPr>
          <w:rFonts w:cs="Arial"/>
        </w:rPr>
        <w:t>The forms of the Bonds and related coupons are contained in the Fiscal Agency Agreement. Copies of the Fiscal Agency Agreement are available for inspection during normal business hours at the specified offices of the Fiscal Agent after the</w:t>
      </w:r>
      <w:r w:rsidR="00E86353" w:rsidRPr="00200547">
        <w:rPr>
          <w:rFonts w:cs="Arial"/>
        </w:rPr>
        <w:t xml:space="preserve"> Original</w:t>
      </w:r>
      <w:r w:rsidRPr="00200547">
        <w:rPr>
          <w:rFonts w:cs="Arial"/>
        </w:rPr>
        <w:t xml:space="preserve"> Issue Date. The holders of the Bonds are deemed to have notice of all the provisions of the Fiscal Agency Agreement applicable to them.</w:t>
      </w:r>
    </w:p>
    <w:p w14:paraId="799F87FC" w14:textId="77777777" w:rsidR="00505294" w:rsidRPr="00200547" w:rsidRDefault="00505294">
      <w:pPr>
        <w:pStyle w:val="Body"/>
        <w:rPr>
          <w:rFonts w:cs="Arial"/>
        </w:rPr>
      </w:pPr>
      <w:r w:rsidRPr="00200547">
        <w:rPr>
          <w:rFonts w:cs="Arial"/>
        </w:rPr>
        <w:t>This section describes the main provisions of the terms and conditions which apply to all the Bonds.</w:t>
      </w:r>
    </w:p>
    <w:p w14:paraId="7830DA83" w14:textId="77777777" w:rsidR="006C4696" w:rsidRPr="00200547" w:rsidRDefault="006C4696">
      <w:pPr>
        <w:pStyle w:val="SubHead"/>
        <w:rPr>
          <w:rFonts w:cs="Arial"/>
        </w:rPr>
      </w:pPr>
      <w:r w:rsidRPr="00200547">
        <w:rPr>
          <w:rFonts w:cs="Arial"/>
        </w:rPr>
        <w:t>Future Tenders</w:t>
      </w:r>
    </w:p>
    <w:p w14:paraId="053BB91F" w14:textId="77777777" w:rsidR="006C4696" w:rsidRPr="00200547" w:rsidRDefault="006C4696" w:rsidP="006C4696">
      <w:pPr>
        <w:pStyle w:val="Body"/>
        <w:rPr>
          <w:rFonts w:cs="Arial"/>
        </w:rPr>
      </w:pPr>
      <w:r w:rsidRPr="00200547">
        <w:rPr>
          <w:rFonts w:cs="Arial"/>
        </w:rPr>
        <w:t xml:space="preserve">In order to further improve the bidding process and enhance the liquidity of the Bonds, the Ministry of Finance may consider tap or new issues for tenders on a competitive bid-price basis in the future. In the case of a tender on a competitive bid-price basis, applicants will be invited to submit bids that indicate the quantity of the bonds applied for and the bid price. </w:t>
      </w:r>
      <w:r w:rsidR="00B82023" w:rsidRPr="00200547">
        <w:rPr>
          <w:rFonts w:cs="Arial"/>
        </w:rPr>
        <w:t xml:space="preserve">Successful bidders will be allocated the bonds at the bid price(s) accepted by the Ministry of Finance. </w:t>
      </w:r>
      <w:r w:rsidRPr="00200547">
        <w:rPr>
          <w:rFonts w:cs="Arial"/>
        </w:rPr>
        <w:t>In the case of tap issues, the Ministry of Finance may issue further bonds having the same terms and conditions as one or more existing series in all respects, except for the issue date, the issue price and the first payment of interest thereon. Additional bonds issued in this manner will be consolidated with and will form a single series with the relevant series of bonds. Further details will be announced in the relevant tender documents in the future.</w:t>
      </w:r>
    </w:p>
    <w:p w14:paraId="5F399288" w14:textId="77777777" w:rsidR="00505294" w:rsidRPr="00200547" w:rsidRDefault="00505294">
      <w:pPr>
        <w:pStyle w:val="SubHead"/>
        <w:rPr>
          <w:rFonts w:cs="Arial"/>
        </w:rPr>
      </w:pPr>
      <w:r w:rsidRPr="00200547">
        <w:rPr>
          <w:rFonts w:cs="Arial"/>
        </w:rPr>
        <w:t>Series</w:t>
      </w:r>
    </w:p>
    <w:p w14:paraId="3EB7550E" w14:textId="3D33E52A" w:rsidR="00505294" w:rsidRPr="00200547" w:rsidRDefault="00505294">
      <w:pPr>
        <w:pStyle w:val="Body"/>
        <w:rPr>
          <w:rFonts w:cs="Arial"/>
          <w:szCs w:val="20"/>
        </w:rPr>
      </w:pPr>
      <w:r w:rsidRPr="00200547">
        <w:rPr>
          <w:rFonts w:cs="Arial"/>
          <w:szCs w:val="20"/>
        </w:rPr>
        <w:t xml:space="preserve">The Bonds will be issued in </w:t>
      </w:r>
      <w:r w:rsidR="002F5346">
        <w:rPr>
          <w:rFonts w:cs="Arial"/>
          <w:szCs w:val="20"/>
        </w:rPr>
        <w:t>three</w:t>
      </w:r>
      <w:r w:rsidR="002F5346" w:rsidRPr="00200547">
        <w:rPr>
          <w:rFonts w:cs="Arial"/>
          <w:szCs w:val="20"/>
        </w:rPr>
        <w:t xml:space="preserve"> </w:t>
      </w:r>
      <w:r w:rsidRPr="00200547">
        <w:rPr>
          <w:rFonts w:cs="Arial"/>
          <w:szCs w:val="20"/>
        </w:rPr>
        <w:t xml:space="preserve">series and will mature in </w:t>
      </w:r>
      <w:r w:rsidR="00C36BBC">
        <w:rPr>
          <w:rFonts w:cs="Arial"/>
          <w:szCs w:val="20"/>
        </w:rPr>
        <w:t>2023</w:t>
      </w:r>
      <w:r w:rsidR="00090974">
        <w:rPr>
          <w:rFonts w:eastAsia="SimHei" w:cs="Arial"/>
          <w:szCs w:val="20"/>
          <w:lang w:eastAsia="zh-TW"/>
        </w:rPr>
        <w:t>, 2026 and 2031</w:t>
      </w:r>
      <w:r w:rsidRPr="00200547">
        <w:rPr>
          <w:rFonts w:cs="Arial"/>
          <w:szCs w:val="20"/>
        </w:rPr>
        <w:t>, in each case on the last Interest Payment Date of the relevant series of Bonds.</w:t>
      </w:r>
    </w:p>
    <w:p w14:paraId="1A46D846" w14:textId="77777777" w:rsidR="00505294" w:rsidRPr="00200547" w:rsidRDefault="00505294">
      <w:pPr>
        <w:pStyle w:val="SubHead"/>
        <w:rPr>
          <w:rFonts w:cs="Arial"/>
        </w:rPr>
      </w:pPr>
      <w:r w:rsidRPr="00200547">
        <w:rPr>
          <w:rFonts w:cs="Arial"/>
        </w:rPr>
        <w:t>Currency</w:t>
      </w:r>
    </w:p>
    <w:p w14:paraId="2AE3B545" w14:textId="77777777" w:rsidR="00505294" w:rsidRPr="00200547" w:rsidRDefault="00505294">
      <w:pPr>
        <w:pStyle w:val="Body"/>
        <w:rPr>
          <w:rFonts w:cs="Arial"/>
        </w:rPr>
      </w:pPr>
      <w:r w:rsidRPr="00200547">
        <w:rPr>
          <w:rFonts w:cs="Arial"/>
        </w:rPr>
        <w:t xml:space="preserve">The Bonds will be issued in Renminbi. All the subscription price, redemption price and interests are to be paid in RMB. </w:t>
      </w:r>
    </w:p>
    <w:p w14:paraId="7CADE89C" w14:textId="77777777" w:rsidR="00505294" w:rsidRPr="00200547" w:rsidRDefault="00505294">
      <w:pPr>
        <w:pStyle w:val="SubHead"/>
        <w:rPr>
          <w:rFonts w:cs="Arial"/>
        </w:rPr>
      </w:pPr>
      <w:r w:rsidRPr="00200547">
        <w:rPr>
          <w:rFonts w:cs="Arial"/>
        </w:rPr>
        <w:t>Denomination</w:t>
      </w:r>
    </w:p>
    <w:p w14:paraId="36C1B2FE" w14:textId="77777777" w:rsidR="00505294" w:rsidRPr="00200547" w:rsidRDefault="00505294">
      <w:pPr>
        <w:pStyle w:val="Body"/>
        <w:rPr>
          <w:rFonts w:cs="Arial"/>
        </w:rPr>
      </w:pPr>
      <w:r w:rsidRPr="00200547">
        <w:rPr>
          <w:rFonts w:cs="Arial"/>
        </w:rPr>
        <w:t xml:space="preserve">The Bonds will be in the denomination of RMB500,000. </w:t>
      </w:r>
    </w:p>
    <w:p w14:paraId="3FFC79BD" w14:textId="77777777" w:rsidR="00505294" w:rsidRPr="00200547" w:rsidRDefault="00505294">
      <w:pPr>
        <w:pStyle w:val="SubHead"/>
        <w:rPr>
          <w:rFonts w:cs="Arial"/>
        </w:rPr>
      </w:pPr>
      <w:r w:rsidRPr="00200547">
        <w:rPr>
          <w:rFonts w:cs="Arial"/>
        </w:rPr>
        <w:t>Aggregate Principal Amount</w:t>
      </w:r>
    </w:p>
    <w:p w14:paraId="53D71BBB" w14:textId="2580F44F" w:rsidR="00505294" w:rsidRPr="00200547" w:rsidRDefault="00505294" w:rsidP="00505294">
      <w:pPr>
        <w:pStyle w:val="Body"/>
        <w:rPr>
          <w:rFonts w:cs="Arial"/>
          <w:szCs w:val="20"/>
        </w:rPr>
      </w:pPr>
      <w:r w:rsidRPr="00200547">
        <w:rPr>
          <w:rFonts w:cs="Arial"/>
          <w:szCs w:val="20"/>
        </w:rPr>
        <w:t xml:space="preserve">The initial aggregate principal amount of the </w:t>
      </w:r>
      <w:r w:rsidR="00E86353" w:rsidRPr="00200547">
        <w:rPr>
          <w:rFonts w:cs="Arial"/>
        </w:rPr>
        <w:t xml:space="preserve">Additional </w:t>
      </w:r>
      <w:r w:rsidR="00C36BBC">
        <w:rPr>
          <w:rFonts w:eastAsia="SimHei" w:cs="Arial"/>
          <w:szCs w:val="20"/>
          <w:lang w:eastAsia="zh-TW"/>
        </w:rPr>
        <w:t>2023</w:t>
      </w:r>
      <w:r w:rsidR="00114C53" w:rsidRPr="00200547">
        <w:rPr>
          <w:rFonts w:cs="Arial"/>
          <w:szCs w:val="20"/>
        </w:rPr>
        <w:t xml:space="preserve"> </w:t>
      </w:r>
      <w:r w:rsidRPr="00200547">
        <w:rPr>
          <w:rFonts w:cs="Arial"/>
          <w:szCs w:val="20"/>
        </w:rPr>
        <w:t>Bonds</w:t>
      </w:r>
      <w:r w:rsidR="004A11DF">
        <w:rPr>
          <w:rFonts w:cs="Arial"/>
          <w:szCs w:val="20"/>
        </w:rPr>
        <w:t>, the Additional 2026 Bonds and the Additional 20</w:t>
      </w:r>
      <w:r w:rsidR="00090974">
        <w:rPr>
          <w:rFonts w:cs="Arial"/>
          <w:szCs w:val="20"/>
        </w:rPr>
        <w:t>31</w:t>
      </w:r>
      <w:r w:rsidR="004A11DF">
        <w:rPr>
          <w:rFonts w:cs="Arial"/>
          <w:szCs w:val="20"/>
        </w:rPr>
        <w:t xml:space="preserve"> Bonds</w:t>
      </w:r>
      <w:r w:rsidRPr="00200547">
        <w:rPr>
          <w:rFonts w:cs="Arial"/>
          <w:szCs w:val="20"/>
        </w:rPr>
        <w:t xml:space="preserve"> to be issued pursuant to the tender will be limited to the aggregate principal amount of </w:t>
      </w:r>
      <w:r w:rsidR="00D23F4A" w:rsidRPr="00200547">
        <w:rPr>
          <w:rFonts w:cs="Arial"/>
          <w:szCs w:val="20"/>
        </w:rPr>
        <w:t>RMB</w:t>
      </w:r>
      <w:r w:rsidR="004A11DF">
        <w:rPr>
          <w:rFonts w:cs="Arial"/>
          <w:szCs w:val="20"/>
        </w:rPr>
        <w:t>3.0</w:t>
      </w:r>
      <w:r w:rsidR="0045313F" w:rsidRPr="00F36033">
        <w:rPr>
          <w:rFonts w:eastAsia="SimHei" w:cs="Arial"/>
          <w:szCs w:val="20"/>
          <w:lang w:eastAsia="zh-TW"/>
        </w:rPr>
        <w:t xml:space="preserve"> </w:t>
      </w:r>
      <w:r w:rsidR="00D23F4A" w:rsidRPr="00200547">
        <w:rPr>
          <w:rFonts w:cs="Arial"/>
          <w:szCs w:val="20"/>
        </w:rPr>
        <w:t>billion</w:t>
      </w:r>
      <w:r w:rsidR="004A11DF">
        <w:rPr>
          <w:rFonts w:cs="Arial"/>
          <w:szCs w:val="20"/>
        </w:rPr>
        <w:t>, RMB2.0 billion</w:t>
      </w:r>
      <w:r w:rsidR="008052A1" w:rsidRPr="00200547">
        <w:rPr>
          <w:rFonts w:cs="Arial"/>
          <w:szCs w:val="20"/>
        </w:rPr>
        <w:t xml:space="preserve"> and</w:t>
      </w:r>
      <w:r w:rsidRPr="00200547">
        <w:rPr>
          <w:rFonts w:cs="Arial"/>
          <w:szCs w:val="20"/>
        </w:rPr>
        <w:t xml:space="preserve"> RMB</w:t>
      </w:r>
      <w:r w:rsidR="004A11DF">
        <w:rPr>
          <w:rFonts w:cs="Arial"/>
          <w:szCs w:val="20"/>
        </w:rPr>
        <w:t>1.0</w:t>
      </w:r>
      <w:r w:rsidR="00D666D5" w:rsidRPr="00200547">
        <w:rPr>
          <w:rFonts w:eastAsia="SimHei" w:cs="Arial"/>
          <w:szCs w:val="20"/>
          <w:lang w:eastAsia="zh-TW"/>
        </w:rPr>
        <w:t xml:space="preserve"> </w:t>
      </w:r>
      <w:r w:rsidR="00586D70" w:rsidRPr="00200547">
        <w:rPr>
          <w:rFonts w:cs="Arial"/>
          <w:szCs w:val="20"/>
        </w:rPr>
        <w:t>billion</w:t>
      </w:r>
      <w:r w:rsidRPr="00200547">
        <w:rPr>
          <w:rFonts w:cs="Arial"/>
          <w:szCs w:val="20"/>
        </w:rPr>
        <w:t>, respectively.</w:t>
      </w:r>
    </w:p>
    <w:p w14:paraId="7E4FA720" w14:textId="77777777" w:rsidR="00505294" w:rsidRPr="00200547" w:rsidRDefault="00505294" w:rsidP="00505294">
      <w:pPr>
        <w:pStyle w:val="SubHead"/>
        <w:rPr>
          <w:rFonts w:cs="Arial"/>
        </w:rPr>
      </w:pPr>
      <w:r w:rsidRPr="00200547">
        <w:rPr>
          <w:rFonts w:cs="Arial"/>
        </w:rPr>
        <w:t>Interest</w:t>
      </w:r>
    </w:p>
    <w:p w14:paraId="50CB80CB" w14:textId="1E73334D" w:rsidR="00505294" w:rsidRPr="00200547" w:rsidRDefault="00E86353">
      <w:pPr>
        <w:pStyle w:val="Body"/>
        <w:rPr>
          <w:rFonts w:cs="Arial"/>
        </w:rPr>
      </w:pPr>
      <w:r w:rsidRPr="00200547">
        <w:rPr>
          <w:rFonts w:cs="Arial"/>
        </w:rPr>
        <w:t xml:space="preserve">The </w:t>
      </w:r>
      <w:r w:rsidR="00C36BBC">
        <w:rPr>
          <w:rFonts w:cs="Arial"/>
        </w:rPr>
        <w:t>2023</w:t>
      </w:r>
      <w:r w:rsidR="00114C53" w:rsidRPr="00200547">
        <w:rPr>
          <w:rFonts w:cs="Arial"/>
        </w:rPr>
        <w:t xml:space="preserve"> </w:t>
      </w:r>
      <w:r w:rsidRPr="00200547">
        <w:rPr>
          <w:rFonts w:cs="Arial"/>
        </w:rPr>
        <w:t>Bonds and the</w:t>
      </w:r>
      <w:r w:rsidR="00114C53" w:rsidRPr="00200547">
        <w:rPr>
          <w:rFonts w:cs="Arial"/>
        </w:rPr>
        <w:t xml:space="preserve"> </w:t>
      </w:r>
      <w:r w:rsidR="004A11DF">
        <w:rPr>
          <w:rFonts w:cs="Arial"/>
        </w:rPr>
        <w:t xml:space="preserve">2026 </w:t>
      </w:r>
      <w:r w:rsidR="00505294" w:rsidRPr="00200547">
        <w:rPr>
          <w:rFonts w:cs="Arial"/>
        </w:rPr>
        <w:t xml:space="preserve">Bonds bear interest from </w:t>
      </w:r>
      <w:r w:rsidR="004A11DF">
        <w:rPr>
          <w:rFonts w:eastAsia="SimHei" w:cs="Arial"/>
          <w:szCs w:val="20"/>
          <w:lang w:eastAsia="zh-TW"/>
        </w:rPr>
        <w:t>27 September 2021</w:t>
      </w:r>
      <w:r w:rsidR="00DA2C52" w:rsidRPr="00200547">
        <w:rPr>
          <w:rFonts w:cs="Arial"/>
        </w:rPr>
        <w:t xml:space="preserve"> </w:t>
      </w:r>
      <w:r w:rsidR="00505294" w:rsidRPr="00200547">
        <w:rPr>
          <w:rFonts w:cs="Arial"/>
        </w:rPr>
        <w:t xml:space="preserve">at </w:t>
      </w:r>
      <w:r w:rsidR="00C36BBC">
        <w:rPr>
          <w:rFonts w:cs="Arial"/>
        </w:rPr>
        <w:t xml:space="preserve">2.41 per cent. </w:t>
      </w:r>
      <w:r w:rsidRPr="00200547">
        <w:rPr>
          <w:rFonts w:cs="Arial"/>
        </w:rPr>
        <w:t xml:space="preserve"> per annum and at </w:t>
      </w:r>
      <w:r w:rsidR="00774420">
        <w:rPr>
          <w:rFonts w:cs="Arial"/>
        </w:rPr>
        <w:t>2.50</w:t>
      </w:r>
      <w:r w:rsidR="00C36BBC">
        <w:rPr>
          <w:rFonts w:cs="Arial"/>
        </w:rPr>
        <w:t xml:space="preserve"> per cent. </w:t>
      </w:r>
      <w:r w:rsidRPr="00200547">
        <w:rPr>
          <w:rFonts w:cs="Arial"/>
        </w:rPr>
        <w:t xml:space="preserve"> per annum, respectively</w:t>
      </w:r>
      <w:r w:rsidR="00505294" w:rsidRPr="00200547">
        <w:rPr>
          <w:rFonts w:cs="Arial"/>
        </w:rPr>
        <w:t xml:space="preserve">. Interest on the </w:t>
      </w:r>
      <w:r w:rsidR="004F79BF">
        <w:rPr>
          <w:rFonts w:cs="Arial"/>
          <w:lang w:val="en-GB"/>
        </w:rPr>
        <w:t xml:space="preserve">2023 Bonds and 2026 </w:t>
      </w:r>
      <w:r w:rsidR="00505294" w:rsidRPr="00200547">
        <w:rPr>
          <w:rFonts w:cs="Arial"/>
        </w:rPr>
        <w:t xml:space="preserve">Bonds is payable semi-annually in arrear on </w:t>
      </w:r>
      <w:r w:rsidR="004A11DF">
        <w:rPr>
          <w:rFonts w:eastAsia="SimHei" w:cs="Arial"/>
          <w:szCs w:val="20"/>
          <w:lang w:eastAsia="zh-TW"/>
        </w:rPr>
        <w:t>27 March</w:t>
      </w:r>
      <w:r w:rsidR="004B20AF" w:rsidRPr="00200547">
        <w:rPr>
          <w:rFonts w:eastAsiaTheme="minorEastAsia" w:cs="Arial"/>
          <w:sz w:val="19"/>
          <w:szCs w:val="19"/>
          <w:lang w:eastAsia="zh-CN"/>
        </w:rPr>
        <w:t xml:space="preserve"> </w:t>
      </w:r>
      <w:r w:rsidR="00505294" w:rsidRPr="00200547">
        <w:rPr>
          <w:rFonts w:cs="Arial"/>
          <w:sz w:val="19"/>
          <w:szCs w:val="19"/>
          <w:lang w:eastAsia="zh-CN"/>
        </w:rPr>
        <w:t xml:space="preserve">and </w:t>
      </w:r>
      <w:r w:rsidR="004A11DF">
        <w:rPr>
          <w:rFonts w:cs="Arial"/>
        </w:rPr>
        <w:t xml:space="preserve">27 September </w:t>
      </w:r>
      <w:r w:rsidR="00505294" w:rsidRPr="00200547">
        <w:rPr>
          <w:rFonts w:cs="Arial"/>
        </w:rPr>
        <w:t>in each year</w:t>
      </w:r>
      <w:r w:rsidR="00505294" w:rsidRPr="009A2D89">
        <w:rPr>
          <w:rFonts w:cs="Arial"/>
        </w:rPr>
        <w:t xml:space="preserve">. </w:t>
      </w:r>
      <w:r w:rsidR="002F5346" w:rsidRPr="009A2D89">
        <w:rPr>
          <w:rFonts w:cs="Arial"/>
        </w:rPr>
        <w:t xml:space="preserve">The 2031 Bonds bear interest from </w:t>
      </w:r>
      <w:r w:rsidR="009A2D89" w:rsidRPr="009A2D89">
        <w:rPr>
          <w:rFonts w:cs="Arial"/>
        </w:rPr>
        <w:t>12 December 2016</w:t>
      </w:r>
      <w:r w:rsidR="002F5346" w:rsidRPr="009A2D89">
        <w:rPr>
          <w:rFonts w:cs="Arial"/>
        </w:rPr>
        <w:t xml:space="preserve"> at 4.15 per cent. per annum. Interest on the 2031 Bonds is payable semi-annually in arrear on 12 June and 12 December in each year.</w:t>
      </w:r>
      <w:r w:rsidR="002F5346">
        <w:rPr>
          <w:rFonts w:cs="Arial"/>
        </w:rPr>
        <w:t xml:space="preserve"> </w:t>
      </w:r>
      <w:r w:rsidR="00505294" w:rsidRPr="00200547">
        <w:rPr>
          <w:rFonts w:cs="Arial"/>
        </w:rPr>
        <w:t>If any such Interest Payment Date would otherwise fall on a day which is not a business day (defined below), it will be postponed to the next day which is a business day unless it would, as a result, fall into the next calendar month, in which event it will be brought forward to the immediately preceding business day.</w:t>
      </w:r>
    </w:p>
    <w:p w14:paraId="2A18C37D" w14:textId="77777777" w:rsidR="00505294" w:rsidRPr="00200547" w:rsidRDefault="00505294">
      <w:pPr>
        <w:pStyle w:val="Body"/>
        <w:rPr>
          <w:rFonts w:cs="Arial"/>
        </w:rPr>
      </w:pPr>
      <w:r w:rsidRPr="00200547">
        <w:rPr>
          <w:rFonts w:cs="Arial"/>
        </w:rPr>
        <w:t>The Fiscal Agent will calculate the amount of interest payable on the Bonds by counting the actual number of days in the Interest Period assuming a fixed year of 365 days.</w:t>
      </w:r>
    </w:p>
    <w:p w14:paraId="131060CA" w14:textId="77777777" w:rsidR="00505294" w:rsidRPr="00200547" w:rsidRDefault="00505294">
      <w:pPr>
        <w:pStyle w:val="Body"/>
        <w:rPr>
          <w:rFonts w:cs="Arial"/>
        </w:rPr>
      </w:pPr>
      <w:r w:rsidRPr="00200547">
        <w:rPr>
          <w:rFonts w:cs="Arial"/>
        </w:rPr>
        <w:t>For this purpose, a “business day” means a day (other than Saturdays and Sundays) on which (i) the CMU is operating, (ii) commercial banks in Hong Kong are open for business and for the settlement of Renminbi payments and (iii) banks in Beijing are not authorised or obligated by law or executive order to be closed.</w:t>
      </w:r>
    </w:p>
    <w:p w14:paraId="765DD8B5" w14:textId="77777777" w:rsidR="00505294" w:rsidRPr="00200547" w:rsidRDefault="00505294">
      <w:pPr>
        <w:pStyle w:val="SubHead"/>
        <w:rPr>
          <w:rFonts w:cs="Arial"/>
        </w:rPr>
      </w:pPr>
      <w:r w:rsidRPr="00200547">
        <w:rPr>
          <w:rFonts w:cs="Arial"/>
        </w:rPr>
        <w:t>Ranking</w:t>
      </w:r>
    </w:p>
    <w:p w14:paraId="094F81DB" w14:textId="77777777" w:rsidR="00505294" w:rsidRPr="00200547" w:rsidRDefault="00505294">
      <w:pPr>
        <w:pStyle w:val="Body"/>
        <w:rPr>
          <w:rFonts w:cs="Arial"/>
        </w:rPr>
      </w:pPr>
      <w:r w:rsidRPr="00200547">
        <w:rPr>
          <w:rFonts w:cs="Arial"/>
        </w:rPr>
        <w:t>The Bonds constitute direct, unsecured and unsubordinated obligations of the Central People’s Government. The Bondholders rank for payment equally with all other creditors of the Central People’s Government whose claims are not preferred by law, secured on its assets or subordinated.</w:t>
      </w:r>
    </w:p>
    <w:p w14:paraId="4A3569D4" w14:textId="77777777" w:rsidR="00505294" w:rsidRPr="00200547" w:rsidRDefault="00505294">
      <w:pPr>
        <w:pStyle w:val="SubHead"/>
        <w:rPr>
          <w:rFonts w:cs="Arial"/>
        </w:rPr>
      </w:pPr>
      <w:r w:rsidRPr="00200547">
        <w:rPr>
          <w:rFonts w:cs="Arial"/>
        </w:rPr>
        <w:t>Form</w:t>
      </w:r>
    </w:p>
    <w:p w14:paraId="7E29B77D" w14:textId="29D7A5C9" w:rsidR="00505294" w:rsidRPr="00200547" w:rsidRDefault="00F721C2">
      <w:pPr>
        <w:pStyle w:val="Body"/>
        <w:rPr>
          <w:rFonts w:cs="Arial"/>
        </w:rPr>
      </w:pPr>
      <w:r>
        <w:rPr>
          <w:rFonts w:cs="Arial"/>
        </w:rPr>
        <w:t xml:space="preserve">The Bonds are issued in bearer form. </w:t>
      </w:r>
      <w:r w:rsidR="00505294" w:rsidRPr="00200547">
        <w:rPr>
          <w:rFonts w:cs="Arial"/>
        </w:rPr>
        <w:t xml:space="preserve">The Bonds will be held in the CMU operated by the Operator. The Bonds of each series </w:t>
      </w:r>
      <w:r w:rsidR="00E86353" w:rsidRPr="00200547">
        <w:rPr>
          <w:rFonts w:cs="Arial"/>
        </w:rPr>
        <w:t>are</w:t>
      </w:r>
      <w:r w:rsidR="00505294" w:rsidRPr="00200547">
        <w:rPr>
          <w:rFonts w:cs="Arial"/>
        </w:rPr>
        <w:t xml:space="preserve"> represented by a single global bond </w:t>
      </w:r>
      <w:r w:rsidR="00E86353" w:rsidRPr="00200547">
        <w:rPr>
          <w:rFonts w:cs="Arial"/>
        </w:rPr>
        <w:t xml:space="preserve">issued by </w:t>
      </w:r>
      <w:r w:rsidR="00505294" w:rsidRPr="00200547">
        <w:rPr>
          <w:rFonts w:cs="Arial"/>
        </w:rPr>
        <w:t xml:space="preserve">the Ministry of Finance in a principal amount equal to the total principal amount of the Bonds of that series. Each global bond </w:t>
      </w:r>
      <w:r w:rsidR="00E86353" w:rsidRPr="00200547">
        <w:rPr>
          <w:rFonts w:cs="Arial"/>
        </w:rPr>
        <w:t>is</w:t>
      </w:r>
      <w:r w:rsidR="00505294" w:rsidRPr="00200547">
        <w:rPr>
          <w:rFonts w:cs="Arial"/>
        </w:rPr>
        <w:t xml:space="preserve"> deposited for safekeeping with a sub-custodian designated by the CMU.</w:t>
      </w:r>
    </w:p>
    <w:p w14:paraId="21712F92" w14:textId="45A04273" w:rsidR="00505294" w:rsidRPr="00200547" w:rsidRDefault="00505294">
      <w:pPr>
        <w:pStyle w:val="Body"/>
        <w:rPr>
          <w:rFonts w:cs="Arial"/>
        </w:rPr>
      </w:pPr>
      <w:r w:rsidRPr="00200547">
        <w:rPr>
          <w:rFonts w:cs="Arial"/>
        </w:rPr>
        <w:t>The Ministry of Finance will not issue individual certificates for the Bonds except in the limited circumstances specified in the global bond for each series of Bonds.</w:t>
      </w:r>
      <w:r w:rsidR="00C808BA">
        <w:rPr>
          <w:rFonts w:cs="Arial"/>
        </w:rPr>
        <w:t xml:space="preserve"> </w:t>
      </w:r>
      <w:r w:rsidRPr="00200547">
        <w:rPr>
          <w:rFonts w:cs="Arial"/>
        </w:rPr>
        <w:t>The Fiscal Agency Agreement provides in detail for the arrangements which will apply in the unlikely event that individual certificates have to be issued. If this happens, the Ministry of Finance will give a notice summarising these arrangements.</w:t>
      </w:r>
    </w:p>
    <w:p w14:paraId="0E3AC2F1" w14:textId="77777777" w:rsidR="00505294" w:rsidRPr="00200547" w:rsidRDefault="00505294">
      <w:pPr>
        <w:pStyle w:val="SubHead"/>
        <w:rPr>
          <w:rFonts w:cs="Arial"/>
        </w:rPr>
      </w:pPr>
      <w:r w:rsidRPr="00200547">
        <w:rPr>
          <w:rFonts w:cs="Arial"/>
        </w:rPr>
        <w:t>Repurchase</w:t>
      </w:r>
    </w:p>
    <w:p w14:paraId="7F55554A" w14:textId="77777777" w:rsidR="00505294" w:rsidRPr="00200547" w:rsidRDefault="00505294">
      <w:pPr>
        <w:pStyle w:val="Body"/>
        <w:rPr>
          <w:rFonts w:cs="Arial"/>
        </w:rPr>
      </w:pPr>
      <w:r w:rsidRPr="00200547">
        <w:rPr>
          <w:rFonts w:cs="Arial"/>
        </w:rPr>
        <w:t>The Ministry of Finance may at any time buy back Bonds in the open market or through designated lawful institutions at any price. If the Ministry of Finance does buy back any Bonds, it may hold them, resell them or decide to cancel them, at its choice.</w:t>
      </w:r>
    </w:p>
    <w:p w14:paraId="07B5EB80" w14:textId="77777777" w:rsidR="00505294" w:rsidRPr="00200547" w:rsidRDefault="00505294">
      <w:pPr>
        <w:pStyle w:val="SubHead"/>
        <w:rPr>
          <w:rFonts w:cs="Arial"/>
        </w:rPr>
      </w:pPr>
      <w:r w:rsidRPr="00200547">
        <w:rPr>
          <w:rFonts w:cs="Arial"/>
        </w:rPr>
        <w:t>Payments and Notices through CMU</w:t>
      </w:r>
    </w:p>
    <w:p w14:paraId="69184B77" w14:textId="77777777" w:rsidR="00505294" w:rsidRPr="00200547" w:rsidRDefault="00505294">
      <w:pPr>
        <w:pStyle w:val="Body"/>
        <w:rPr>
          <w:rFonts w:cs="Arial"/>
        </w:rPr>
      </w:pPr>
      <w:r w:rsidRPr="00200547">
        <w:rPr>
          <w:rFonts w:cs="Arial"/>
        </w:rPr>
        <w:t>Individual investors will hold their interest in the Bonds in their accounts, or through their custodian’s accounts, at the CMU, or through HKSCC or their securities brokers.</w:t>
      </w:r>
    </w:p>
    <w:p w14:paraId="6413F662" w14:textId="77777777" w:rsidR="00505294" w:rsidRPr="00200547" w:rsidRDefault="00505294">
      <w:pPr>
        <w:pStyle w:val="Body"/>
        <w:rPr>
          <w:rFonts w:cs="Arial"/>
        </w:rPr>
      </w:pPr>
      <w:r w:rsidRPr="00200547">
        <w:rPr>
          <w:rFonts w:cs="Arial"/>
        </w:rPr>
        <w:t>The Ministry of Finance will pay interest and principal on the Bonds to the accounts of the accountholders on the CMU records as the holders of the Bonds. Once any payment is made in this way, investors in the Bonds will have no further rights against the Ministry of Finance for that payment, even if the CMU or any custodian fails to transmit the investors’ share of the payment to the investors or transmits it late.</w:t>
      </w:r>
    </w:p>
    <w:p w14:paraId="6CE00BDA" w14:textId="77777777" w:rsidR="00505294" w:rsidRPr="00200547" w:rsidRDefault="00505294">
      <w:pPr>
        <w:pStyle w:val="Body"/>
        <w:rPr>
          <w:rFonts w:cs="Arial"/>
        </w:rPr>
      </w:pPr>
      <w:r w:rsidRPr="00200547">
        <w:rPr>
          <w:rFonts w:cs="Arial"/>
        </w:rPr>
        <w:t xml:space="preserve">Any notices the Ministry of Finance gives after the Bonds are issued will be given in the same way: the Fiscal Agent will arrange for the notice to be sent to the accountholders via the CMU and any investor who is not an accountholder will have to rely on the accountholder (which holds the interests in the Bonds on its behalf), HKSCC or its securities broker to forward the notice to it. </w:t>
      </w:r>
    </w:p>
    <w:p w14:paraId="6A33ACDE" w14:textId="77777777" w:rsidR="00505294" w:rsidRPr="00200547" w:rsidRDefault="00505294">
      <w:pPr>
        <w:pStyle w:val="Body"/>
        <w:rPr>
          <w:rFonts w:cs="Arial"/>
        </w:rPr>
      </w:pPr>
      <w:r w:rsidRPr="00200547">
        <w:rPr>
          <w:rFonts w:cs="Arial"/>
        </w:rPr>
        <w:t>Both the Ministry of Finance and the Fiscal Agent will treat the custodian for the CMU as the Bondholder for all purposes under the terms and conditions of the Bonds.</w:t>
      </w:r>
    </w:p>
    <w:p w14:paraId="5B7BB875" w14:textId="77777777" w:rsidR="00505294" w:rsidRPr="00200547" w:rsidRDefault="00505294">
      <w:pPr>
        <w:pStyle w:val="SubHead"/>
        <w:rPr>
          <w:rFonts w:cs="Arial"/>
        </w:rPr>
      </w:pPr>
      <w:r w:rsidRPr="00200547">
        <w:rPr>
          <w:rFonts w:cs="Arial"/>
        </w:rPr>
        <w:t>Principal and Interest Payment</w:t>
      </w:r>
    </w:p>
    <w:p w14:paraId="34604B5A" w14:textId="77777777" w:rsidR="00505294" w:rsidRPr="00200547" w:rsidRDefault="00505294">
      <w:pPr>
        <w:pStyle w:val="Body"/>
        <w:rPr>
          <w:rFonts w:cs="Arial"/>
        </w:rPr>
      </w:pPr>
      <w:r w:rsidRPr="00200547">
        <w:rPr>
          <w:rFonts w:cs="Arial"/>
        </w:rPr>
        <w:t>Payments of principal and interest on the Bonds will only be made by the Ministry of Finance by way of transfers to RMB bank accounts in Hong Kong.</w:t>
      </w:r>
    </w:p>
    <w:p w14:paraId="6D379648" w14:textId="77777777" w:rsidR="00505294" w:rsidRPr="00200547" w:rsidRDefault="00505294">
      <w:pPr>
        <w:pStyle w:val="SubHead"/>
        <w:rPr>
          <w:rFonts w:cs="Arial"/>
        </w:rPr>
      </w:pPr>
      <w:r w:rsidRPr="00200547">
        <w:rPr>
          <w:rFonts w:cs="Arial"/>
        </w:rPr>
        <w:t>Further Issues</w:t>
      </w:r>
    </w:p>
    <w:p w14:paraId="088D3927" w14:textId="77777777" w:rsidR="00505294" w:rsidRPr="00200547" w:rsidRDefault="00505294" w:rsidP="00505294">
      <w:pPr>
        <w:pStyle w:val="Body"/>
        <w:rPr>
          <w:rFonts w:cs="Arial"/>
        </w:rPr>
      </w:pPr>
      <w:r w:rsidRPr="00200547">
        <w:rPr>
          <w:rFonts w:cs="Arial"/>
        </w:rPr>
        <w:t>The Ministry of Finance may from time to time, without the consent of holders of the Bonds or coupons, create and issue further bonds for each series having the same terms and conditions as that series in all respects, except for the issue date, the issue price and the first payment of interest thereon. Additional bonds issued in this manner will be consolidated with and will form a single series with that series of Bonds.</w:t>
      </w:r>
    </w:p>
    <w:p w14:paraId="2CD63D59" w14:textId="77777777" w:rsidR="00505294" w:rsidRPr="00200547" w:rsidRDefault="00505294">
      <w:pPr>
        <w:pStyle w:val="SubHead"/>
        <w:rPr>
          <w:rFonts w:cs="Arial"/>
        </w:rPr>
      </w:pPr>
      <w:r w:rsidRPr="00200547">
        <w:rPr>
          <w:rFonts w:cs="Arial"/>
        </w:rPr>
        <w:t>Tax Withholding and Gross Up</w:t>
      </w:r>
    </w:p>
    <w:p w14:paraId="31FC514E" w14:textId="77777777" w:rsidR="00505294" w:rsidRPr="00200547" w:rsidRDefault="00505294">
      <w:pPr>
        <w:pStyle w:val="Body"/>
        <w:rPr>
          <w:rFonts w:cs="Arial"/>
        </w:rPr>
      </w:pPr>
      <w:r w:rsidRPr="00200547">
        <w:rPr>
          <w:rFonts w:cs="Arial"/>
        </w:rPr>
        <w:t>If the Ministry of Finance is required by the PRC law to withhold or deduct taxes, duties or other charges from payments of principal or interest, then the Ministry of Finance will make the withholding or deduction and remit it to the tax authorities. In that event, the Ministry of Finance shall pay such additional amounts as will result in the receipt by the Bondholder of such amounts as would have been received by such Bondholder if no such withholding or deduction had been required, subject to the limited exceptions set forth in the terms and conditions of the Bonds. There is, however, currently no requirement for the Ministry of Finance to make any withholding or deduction.</w:t>
      </w:r>
    </w:p>
    <w:p w14:paraId="37C7EC3C" w14:textId="77777777" w:rsidR="00505294" w:rsidRPr="00200547" w:rsidRDefault="00505294">
      <w:pPr>
        <w:pStyle w:val="SubHead"/>
        <w:rPr>
          <w:rFonts w:cs="Arial"/>
        </w:rPr>
      </w:pPr>
      <w:r w:rsidRPr="00200547">
        <w:rPr>
          <w:rFonts w:cs="Arial"/>
        </w:rPr>
        <w:t>Taxation</w:t>
      </w:r>
    </w:p>
    <w:p w14:paraId="0BBE9DE8" w14:textId="77777777" w:rsidR="00505294" w:rsidRPr="00200547" w:rsidRDefault="00505294">
      <w:pPr>
        <w:pStyle w:val="Body"/>
        <w:rPr>
          <w:rFonts w:cs="Arial"/>
        </w:rPr>
      </w:pPr>
      <w:r w:rsidRPr="00200547">
        <w:rPr>
          <w:rFonts w:cs="Arial"/>
        </w:rPr>
        <w:t>The Bonds are not subject to any individual or enterprise income tax or stamp duty in the People’s Republic of China nor to any profits tax or stamp duty in Hong Kong.</w:t>
      </w:r>
    </w:p>
    <w:p w14:paraId="2ABC742C" w14:textId="77777777" w:rsidR="00505294" w:rsidRPr="00200547" w:rsidRDefault="00505294">
      <w:pPr>
        <w:pStyle w:val="SubHead"/>
        <w:rPr>
          <w:rFonts w:cs="Arial"/>
        </w:rPr>
      </w:pPr>
      <w:r w:rsidRPr="00200547">
        <w:rPr>
          <w:rFonts w:cs="Arial"/>
        </w:rPr>
        <w:t>Meetings of Bondholders</w:t>
      </w:r>
    </w:p>
    <w:p w14:paraId="1AC179E1" w14:textId="584B7D24" w:rsidR="00505294" w:rsidRPr="00200547" w:rsidRDefault="00505294">
      <w:pPr>
        <w:pStyle w:val="Body"/>
        <w:rPr>
          <w:rFonts w:cs="Arial"/>
        </w:rPr>
      </w:pPr>
      <w:r w:rsidRPr="00200547">
        <w:rPr>
          <w:rFonts w:cs="Arial"/>
        </w:rPr>
        <w:t>The Fiscal Agency Agreement contains provisions for convening meetings of Bondholders to consider any matter affecting their interests. A meeting could be convened, for example, if the Ministry of Finance proposes any change to an important term of the Bonds.</w:t>
      </w:r>
    </w:p>
    <w:p w14:paraId="0B6D6191" w14:textId="3D8D214A" w:rsidR="00505294" w:rsidRPr="00200547" w:rsidRDefault="00505294">
      <w:pPr>
        <w:pStyle w:val="Body"/>
        <w:rPr>
          <w:rFonts w:cs="Arial"/>
        </w:rPr>
      </w:pPr>
      <w:r w:rsidRPr="00200547">
        <w:rPr>
          <w:rFonts w:cs="Arial"/>
        </w:rPr>
        <w:t>There are detailed provisions in the Fiscal Agency Agreement about how meetings will be conducted in the unlikely event that a meeting is ever called. A meeting may be called either by the Ministry of Finance or by the Fiscal Agent. Bondholders holding at least 10% in principal amount of the Bonds of a series may also call a meeting by written request to the Fiscal Agent.</w:t>
      </w:r>
    </w:p>
    <w:p w14:paraId="7E44AD52" w14:textId="77777777" w:rsidR="00505294" w:rsidRPr="00200547" w:rsidRDefault="00505294">
      <w:pPr>
        <w:pStyle w:val="Body"/>
        <w:rPr>
          <w:rFonts w:cs="Arial"/>
        </w:rPr>
      </w:pPr>
      <w:r w:rsidRPr="00200547">
        <w:rPr>
          <w:rFonts w:cs="Arial"/>
        </w:rPr>
        <w:t>A resolution passed at a meeting of Bondholders will be binding on all the holders of the same series of Bonds, whether or not they were present at the meeting.</w:t>
      </w:r>
    </w:p>
    <w:p w14:paraId="2BBA2517" w14:textId="77777777" w:rsidR="00505294" w:rsidRPr="00200547" w:rsidRDefault="00505294">
      <w:pPr>
        <w:pStyle w:val="SubHead"/>
        <w:rPr>
          <w:rFonts w:cs="Arial"/>
        </w:rPr>
      </w:pPr>
      <w:r w:rsidRPr="00200547">
        <w:rPr>
          <w:rFonts w:cs="Arial"/>
        </w:rPr>
        <w:t>Market Making Arrangements</w:t>
      </w:r>
    </w:p>
    <w:p w14:paraId="1F2DB867" w14:textId="77777777" w:rsidR="00505294" w:rsidRPr="00200547" w:rsidRDefault="00505294">
      <w:pPr>
        <w:pStyle w:val="Body"/>
        <w:rPr>
          <w:rFonts w:cs="Arial"/>
        </w:rPr>
      </w:pPr>
      <w:r w:rsidRPr="00200547">
        <w:rPr>
          <w:rFonts w:cs="Arial"/>
        </w:rPr>
        <w:t>The Ministry of Finance may invite successful institutional investors to make a market for the Bonds by quoting two-way prices, in each case without any requirement for any minimum volume but subject to any maximum spreads as may be specified by the Ministry of Finance.</w:t>
      </w:r>
    </w:p>
    <w:p w14:paraId="3808011D" w14:textId="77777777" w:rsidR="00505294" w:rsidRPr="00200547" w:rsidRDefault="00505294">
      <w:pPr>
        <w:pStyle w:val="SubHead"/>
        <w:keepLines/>
        <w:rPr>
          <w:rFonts w:cs="Arial"/>
        </w:rPr>
      </w:pPr>
      <w:r w:rsidRPr="00200547">
        <w:rPr>
          <w:rFonts w:cs="Arial"/>
        </w:rPr>
        <w:t>Listing</w:t>
      </w:r>
    </w:p>
    <w:p w14:paraId="261F8A22" w14:textId="77777777" w:rsidR="00505294" w:rsidRPr="00200547" w:rsidRDefault="00505294">
      <w:pPr>
        <w:pStyle w:val="Body"/>
        <w:rPr>
          <w:rFonts w:cs="Arial"/>
        </w:rPr>
      </w:pPr>
      <w:r w:rsidRPr="00200547">
        <w:rPr>
          <w:rFonts w:cs="Arial"/>
          <w:szCs w:val="20"/>
        </w:rPr>
        <w:t xml:space="preserve">The </w:t>
      </w:r>
      <w:r w:rsidR="00E86353" w:rsidRPr="00200547">
        <w:rPr>
          <w:rFonts w:cs="Arial"/>
        </w:rPr>
        <w:t xml:space="preserve">Additional </w:t>
      </w:r>
      <w:r w:rsidRPr="00200547">
        <w:rPr>
          <w:rFonts w:cs="Arial"/>
          <w:szCs w:val="20"/>
        </w:rPr>
        <w:t xml:space="preserve">Bonds will be listed on </w:t>
      </w:r>
      <w:r w:rsidR="008217C6">
        <w:rPr>
          <w:rFonts w:cs="Arial"/>
          <w:szCs w:val="20"/>
        </w:rPr>
        <w:t>Hong Kong</w:t>
      </w:r>
      <w:r w:rsidR="008217C6" w:rsidRPr="00200547">
        <w:rPr>
          <w:rFonts w:cs="Arial"/>
          <w:szCs w:val="20"/>
        </w:rPr>
        <w:t xml:space="preserve"> </w:t>
      </w:r>
      <w:r w:rsidRPr="00200547">
        <w:rPr>
          <w:rFonts w:cs="Arial"/>
          <w:szCs w:val="20"/>
        </w:rPr>
        <w:t>Stock Exchange.</w:t>
      </w:r>
    </w:p>
    <w:p w14:paraId="2302F09A" w14:textId="77777777" w:rsidR="00505294" w:rsidRPr="00200547" w:rsidRDefault="00505294">
      <w:pPr>
        <w:pStyle w:val="SubHead"/>
        <w:keepLines/>
        <w:rPr>
          <w:rFonts w:cs="Arial"/>
        </w:rPr>
      </w:pPr>
      <w:r w:rsidRPr="00200547">
        <w:rPr>
          <w:rFonts w:cs="Arial"/>
        </w:rPr>
        <w:t xml:space="preserve">Fiscal Agent </w:t>
      </w:r>
    </w:p>
    <w:p w14:paraId="42D50AE7" w14:textId="6A42F3DD" w:rsidR="00505294" w:rsidRPr="00200547" w:rsidRDefault="00505294">
      <w:pPr>
        <w:pStyle w:val="Body"/>
        <w:rPr>
          <w:rFonts w:cs="Arial"/>
          <w:szCs w:val="20"/>
        </w:rPr>
      </w:pPr>
      <w:r w:rsidRPr="00200547">
        <w:rPr>
          <w:rFonts w:cs="Arial"/>
          <w:szCs w:val="20"/>
        </w:rPr>
        <w:t>Administrative matters relating to the Bonds are dealt with in the Fiscal Agency Agreement. This agreement sets out the arrangements between the Ministry of Finance and the Fiscal Agent for:</w:t>
      </w:r>
    </w:p>
    <w:p w14:paraId="02101A49" w14:textId="77777777" w:rsidR="00505294" w:rsidRPr="00200547" w:rsidRDefault="00505294">
      <w:pPr>
        <w:pStyle w:val="bullet2"/>
        <w:rPr>
          <w:rFonts w:ascii="Arial" w:hAnsi="Arial" w:cs="Arial"/>
        </w:rPr>
      </w:pPr>
      <w:r w:rsidRPr="00200547">
        <w:rPr>
          <w:rFonts w:ascii="Arial" w:hAnsi="Arial" w:cs="Arial"/>
        </w:rPr>
        <w:t>making payments of principal and interest on the Bonds</w:t>
      </w:r>
    </w:p>
    <w:p w14:paraId="3ECD183E" w14:textId="77777777" w:rsidR="00505294" w:rsidRPr="00200547" w:rsidRDefault="00505294">
      <w:pPr>
        <w:pStyle w:val="bullet2"/>
        <w:rPr>
          <w:rFonts w:ascii="Arial" w:hAnsi="Arial" w:cs="Arial"/>
        </w:rPr>
      </w:pPr>
      <w:r w:rsidRPr="00200547">
        <w:rPr>
          <w:rFonts w:ascii="Arial" w:hAnsi="Arial" w:cs="Arial"/>
        </w:rPr>
        <w:t>giving notices to the Bondholders</w:t>
      </w:r>
    </w:p>
    <w:p w14:paraId="5D27E56E" w14:textId="77777777" w:rsidR="00505294" w:rsidRPr="00200547" w:rsidRDefault="00505294">
      <w:pPr>
        <w:pStyle w:val="bullet2"/>
        <w:rPr>
          <w:rFonts w:ascii="Arial" w:hAnsi="Arial" w:cs="Arial"/>
        </w:rPr>
      </w:pPr>
      <w:r w:rsidRPr="00200547">
        <w:rPr>
          <w:rFonts w:ascii="Arial" w:hAnsi="Arial" w:cs="Arial"/>
        </w:rPr>
        <w:t>issuing individual certificates for Bonds, in the unlikely event that the Ministry of Finance ever needs to do so</w:t>
      </w:r>
    </w:p>
    <w:p w14:paraId="5E9994CF" w14:textId="77777777" w:rsidR="00505294" w:rsidRPr="00200547" w:rsidRDefault="00505294">
      <w:pPr>
        <w:pStyle w:val="bullet2"/>
        <w:rPr>
          <w:rFonts w:ascii="Arial" w:hAnsi="Arial" w:cs="Arial"/>
        </w:rPr>
      </w:pPr>
      <w:r w:rsidRPr="00200547">
        <w:rPr>
          <w:rFonts w:ascii="Arial" w:hAnsi="Arial" w:cs="Arial"/>
        </w:rPr>
        <w:t xml:space="preserve">organising and running meetings of the Bondholders, and </w:t>
      </w:r>
    </w:p>
    <w:p w14:paraId="44EEBFF6" w14:textId="77777777" w:rsidR="00505294" w:rsidRPr="00200547" w:rsidRDefault="00505294">
      <w:pPr>
        <w:pStyle w:val="bullet2"/>
        <w:rPr>
          <w:rFonts w:ascii="Arial" w:hAnsi="Arial" w:cs="Arial"/>
        </w:rPr>
      </w:pPr>
      <w:r w:rsidRPr="00200547">
        <w:rPr>
          <w:rFonts w:ascii="Arial" w:hAnsi="Arial" w:cs="Arial"/>
        </w:rPr>
        <w:t>keeping records and dealing with other administrative matters.</w:t>
      </w:r>
    </w:p>
    <w:p w14:paraId="16471663" w14:textId="77777777" w:rsidR="00505294" w:rsidRPr="00200547" w:rsidRDefault="00505294">
      <w:pPr>
        <w:pStyle w:val="Body"/>
        <w:rPr>
          <w:rFonts w:cs="Arial"/>
        </w:rPr>
      </w:pPr>
      <w:r w:rsidRPr="00200547">
        <w:rPr>
          <w:rFonts w:cs="Arial"/>
        </w:rPr>
        <w:t>The agents are agents of the Ministry of Finance and do not owe any duty to any investors of the Bonds.</w:t>
      </w:r>
    </w:p>
    <w:p w14:paraId="40329B86" w14:textId="77777777" w:rsidR="00B64208" w:rsidRPr="00200547" w:rsidRDefault="00B64208" w:rsidP="00B64208">
      <w:pPr>
        <w:pStyle w:val="Level1"/>
        <w:numPr>
          <w:ilvl w:val="0"/>
          <w:numId w:val="0"/>
        </w:numPr>
        <w:ind w:left="567" w:hanging="567"/>
        <w:rPr>
          <w:rFonts w:eastAsia="SimHei" w:cs="Arial"/>
          <w:kern w:val="21"/>
          <w:sz w:val="21"/>
          <w:szCs w:val="24"/>
        </w:rPr>
      </w:pPr>
      <w:r w:rsidRPr="00200547">
        <w:rPr>
          <w:rFonts w:eastAsia="SimHei" w:cs="Arial"/>
          <w:kern w:val="21"/>
          <w:sz w:val="21"/>
          <w:szCs w:val="24"/>
        </w:rPr>
        <w:t>Contracts (Rights of Third Parties) Ordinance</w:t>
      </w:r>
    </w:p>
    <w:p w14:paraId="70852910" w14:textId="77777777" w:rsidR="00B64208" w:rsidRPr="00200547" w:rsidRDefault="00B64208" w:rsidP="00D379EC">
      <w:pPr>
        <w:pStyle w:val="Body"/>
        <w:rPr>
          <w:rFonts w:cs="Arial"/>
          <w:b/>
        </w:rPr>
      </w:pPr>
      <w:r w:rsidRPr="00200547">
        <w:rPr>
          <w:rFonts w:cs="Arial"/>
        </w:rPr>
        <w:t xml:space="preserve">No person shall have any right to enforce any term or condition of the Bonds or the </w:t>
      </w:r>
      <w:r w:rsidR="00C42262" w:rsidRPr="00200547">
        <w:rPr>
          <w:rFonts w:eastAsiaTheme="minorEastAsia" w:cs="Arial"/>
          <w:lang w:eastAsia="zh-CN"/>
        </w:rPr>
        <w:t>c</w:t>
      </w:r>
      <w:r w:rsidRPr="00200547">
        <w:rPr>
          <w:rFonts w:cs="Arial"/>
        </w:rPr>
        <w:t>oupons under the Contracts (Rights of Third Parties) Ordinance (Chapter 623 of the Laws of Hong Kong).</w:t>
      </w:r>
    </w:p>
    <w:p w14:paraId="3F852C4B" w14:textId="77777777" w:rsidR="00505294" w:rsidRPr="00200547" w:rsidRDefault="00505294">
      <w:pPr>
        <w:pStyle w:val="SubHead"/>
        <w:rPr>
          <w:rFonts w:cs="Arial"/>
        </w:rPr>
      </w:pPr>
      <w:r w:rsidRPr="00200547">
        <w:rPr>
          <w:rFonts w:cs="Arial"/>
        </w:rPr>
        <w:t>Governing Law and Jurisdiction</w:t>
      </w:r>
    </w:p>
    <w:p w14:paraId="73011F39" w14:textId="071D5A8B" w:rsidR="00505294" w:rsidRPr="00200547" w:rsidRDefault="00505294">
      <w:pPr>
        <w:pStyle w:val="Body"/>
        <w:rPr>
          <w:rFonts w:cs="Arial"/>
          <w:szCs w:val="20"/>
        </w:rPr>
      </w:pPr>
      <w:r w:rsidRPr="00200547">
        <w:rPr>
          <w:rFonts w:cs="Arial"/>
          <w:szCs w:val="20"/>
        </w:rPr>
        <w:t>The Bonds and the Fiscal Agency Agreement are governed by the laws of the Hong Kong Special Administrative Region</w:t>
      </w:r>
      <w:r w:rsidR="00D93CCB" w:rsidRPr="00200547">
        <w:rPr>
          <w:rFonts w:cs="Arial"/>
        </w:rPr>
        <w:t xml:space="preserve"> </w:t>
      </w:r>
      <w:r w:rsidR="00D93CCB" w:rsidRPr="00200547">
        <w:rPr>
          <w:rFonts w:cs="Arial"/>
          <w:szCs w:val="20"/>
        </w:rPr>
        <w:t>of the People’s Republic of China</w:t>
      </w:r>
      <w:r w:rsidRPr="00200547">
        <w:rPr>
          <w:rFonts w:cs="Arial"/>
          <w:szCs w:val="20"/>
        </w:rPr>
        <w:t xml:space="preserve">. The Ministry of Finance has agreed that the courts of the Hong Kong Special Administrative Region </w:t>
      </w:r>
      <w:r w:rsidR="00D93CCB" w:rsidRPr="00200547">
        <w:rPr>
          <w:rFonts w:eastAsiaTheme="minorEastAsia" w:cs="Arial"/>
          <w:szCs w:val="20"/>
          <w:lang w:eastAsia="zh-CN"/>
        </w:rPr>
        <w:t>of the People’s Republic of China</w:t>
      </w:r>
      <w:r w:rsidR="00D93CCB" w:rsidRPr="00200547">
        <w:rPr>
          <w:rFonts w:cs="Arial"/>
          <w:szCs w:val="20"/>
        </w:rPr>
        <w:t xml:space="preserve"> </w:t>
      </w:r>
      <w:r w:rsidRPr="00200547">
        <w:rPr>
          <w:rFonts w:cs="Arial"/>
          <w:szCs w:val="20"/>
        </w:rPr>
        <w:t>have non-exclusive jurisdiction to settle any dispute in connection with the Bonds and appointed the Fiscal Agent as its agent to accept service of process in any such proceedings.</w:t>
      </w:r>
    </w:p>
    <w:p w14:paraId="0D17AFB7" w14:textId="77777777" w:rsidR="00505294" w:rsidRPr="00200547" w:rsidRDefault="00505294">
      <w:pPr>
        <w:pStyle w:val="Body"/>
        <w:rPr>
          <w:rFonts w:cs="Arial"/>
          <w:szCs w:val="20"/>
        </w:rPr>
      </w:pPr>
      <w:r w:rsidRPr="00200547">
        <w:rPr>
          <w:rFonts w:cs="Arial"/>
          <w:szCs w:val="20"/>
        </w:rPr>
        <w:t xml:space="preserve">To the extent that the Ministry of Finance may claim for itself immunity from any such proceedings, and to the extent that there may be attributed to the Ministry of Finance such immunity (whether or not claimed), the Ministry of Finance will not claim, has waived and will waive such immunity in the face of the courts; provided, however, that the Ministry of Finance has not waived, and will not waive, its sovereign and other immunity with respect to assets </w:t>
      </w:r>
      <w:r w:rsidR="0078188E" w:rsidRPr="00200547">
        <w:rPr>
          <w:rFonts w:cs="Arial"/>
          <w:szCs w:val="20"/>
        </w:rPr>
        <w:t xml:space="preserve">of the PRC </w:t>
      </w:r>
      <w:r w:rsidRPr="00200547">
        <w:rPr>
          <w:rFonts w:cs="Arial"/>
          <w:szCs w:val="20"/>
        </w:rPr>
        <w:t>wherever located from execution or attachment, whether in aid of execution, before judgment or otherwise.</w:t>
      </w:r>
    </w:p>
    <w:p w14:paraId="60BCC96F" w14:textId="77777777" w:rsidR="00505294" w:rsidRPr="00200547" w:rsidRDefault="00505294">
      <w:pPr>
        <w:spacing w:line="340" w:lineRule="atLeast"/>
        <w:ind w:firstLine="454"/>
        <w:rPr>
          <w:rFonts w:ascii="Arial" w:hAnsi="Arial" w:cs="Arial"/>
          <w:color w:val="auto"/>
          <w:sz w:val="24"/>
          <w:szCs w:val="24"/>
        </w:rPr>
      </w:pPr>
    </w:p>
    <w:p w14:paraId="45888BE1" w14:textId="77777777" w:rsidR="00505294" w:rsidRPr="00200547" w:rsidRDefault="00505294">
      <w:pPr>
        <w:spacing w:line="340" w:lineRule="atLeast"/>
        <w:rPr>
          <w:rFonts w:ascii="Arial" w:hAnsi="Arial" w:cs="Arial"/>
          <w:color w:val="auto"/>
          <w:sz w:val="24"/>
          <w:szCs w:val="24"/>
          <w:lang w:eastAsia="en-US"/>
        </w:rPr>
        <w:sectPr w:rsidR="00505294" w:rsidRPr="00200547" w:rsidSect="008F68E3">
          <w:headerReference w:type="default" r:id="rId11"/>
          <w:footerReference w:type="default" r:id="rId12"/>
          <w:pgSz w:w="11906" w:h="16838"/>
          <w:pgMar w:top="678" w:right="1417" w:bottom="850" w:left="1417" w:header="720" w:footer="638" w:gutter="0"/>
          <w:pgNumType w:start="1"/>
          <w:cols w:space="720"/>
          <w:noEndnote/>
          <w:docGrid w:linePitch="299"/>
        </w:sectPr>
      </w:pPr>
    </w:p>
    <w:p w14:paraId="226B0770" w14:textId="77777777" w:rsidR="00505294" w:rsidRPr="00200547" w:rsidRDefault="008C794D">
      <w:pPr>
        <w:spacing w:line="340" w:lineRule="atLeast"/>
        <w:jc w:val="center"/>
        <w:rPr>
          <w:rFonts w:ascii="Arial" w:hAnsi="Arial" w:cs="Arial"/>
          <w:b/>
          <w:color w:val="auto"/>
          <w:sz w:val="24"/>
          <w:szCs w:val="24"/>
          <w:lang w:eastAsia="en-US"/>
        </w:rPr>
      </w:pPr>
      <w:r w:rsidRPr="00200547">
        <w:rPr>
          <w:rFonts w:ascii="Arial" w:hAnsi="Arial" w:cs="Arial"/>
          <w:b/>
          <w:noProof/>
          <w:color w:val="auto"/>
          <w:sz w:val="24"/>
          <w:szCs w:val="24"/>
          <w:lang w:val="en-GB" w:eastAsia="zh-CN"/>
        </w:rPr>
        <mc:AlternateContent>
          <mc:Choice Requires="wps">
            <w:drawing>
              <wp:anchor distT="0" distB="0" distL="114300" distR="114300" simplePos="0" relativeHeight="251659264" behindDoc="0" locked="0" layoutInCell="1" allowOverlap="1" wp14:anchorId="727D5466" wp14:editId="4D1BB4AE">
                <wp:simplePos x="0" y="0"/>
                <wp:positionH relativeFrom="column">
                  <wp:posOffset>5308600</wp:posOffset>
                </wp:positionH>
                <wp:positionV relativeFrom="paragraph">
                  <wp:posOffset>-137160</wp:posOffset>
                </wp:positionV>
                <wp:extent cx="1117600" cy="381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81000"/>
                        </a:xfrm>
                        <a:prstGeom prst="rect">
                          <a:avLst/>
                        </a:prstGeom>
                        <a:solidFill>
                          <a:srgbClr val="FFFFFF"/>
                        </a:solidFill>
                        <a:ln w="9525">
                          <a:solidFill>
                            <a:srgbClr val="000000"/>
                          </a:solidFill>
                          <a:miter lim="800000"/>
                          <a:headEnd/>
                          <a:tailEnd/>
                        </a:ln>
                      </wps:spPr>
                      <wps:txbx>
                        <w:txbxContent>
                          <w:p w14:paraId="238381F8" w14:textId="77777777" w:rsidR="004034EA" w:rsidRDefault="004034EA">
                            <w:pPr>
                              <w:jc w:val="center"/>
                              <w:rPr>
                                <w:rFonts w:ascii="Arial" w:hAnsi="Arial" w:cs="Arial"/>
                                <w:b/>
                              </w:rPr>
                            </w:pPr>
                            <w:r>
                              <w:rPr>
                                <w:rFonts w:ascii="Arial" w:hAnsi="Arial" w:cs="Arial"/>
                                <w:b/>
                              </w:rPr>
                              <w:t>Annex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D5466" id="_x0000_t202" coordsize="21600,21600" o:spt="202" path="m,l,21600r21600,l21600,xe">
                <v:stroke joinstyle="miter"/>
                <v:path gradientshapeok="t" o:connecttype="rect"/>
              </v:shapetype>
              <v:shape id="Text Box 4" o:spid="_x0000_s1026" type="#_x0000_t202" style="position:absolute;left:0;text-align:left;margin-left:418pt;margin-top:-10.8pt;width:8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">
                <v:textbox>
                  <w:txbxContent>
                    <w:p w14:paraId="238381F8" w14:textId="77777777" w:rsidR="004034EA" w:rsidRDefault="004034EA">
                      <w:pPr>
                        <w:jc w:val="center"/>
                        <w:rPr>
                          <w:rFonts w:ascii="Arial" w:hAnsi="Arial" w:cs="Arial"/>
                          <w:b/>
                        </w:rPr>
                      </w:pPr>
                      <w:r>
                        <w:rPr>
                          <w:rFonts w:ascii="Arial" w:hAnsi="Arial" w:cs="Arial"/>
                          <w:b/>
                        </w:rPr>
                        <w:t>Annex A</w:t>
                      </w:r>
                    </w:p>
                  </w:txbxContent>
                </v:textbox>
              </v:shape>
            </w:pict>
          </mc:Fallback>
        </mc:AlternateContent>
      </w:r>
      <w:r w:rsidR="00505294" w:rsidRPr="00200547">
        <w:rPr>
          <w:rFonts w:ascii="Arial" w:hAnsi="Arial" w:cs="Arial"/>
          <w:b/>
          <w:color w:val="auto"/>
          <w:sz w:val="24"/>
          <w:szCs w:val="24"/>
          <w:lang w:eastAsia="en-US"/>
        </w:rPr>
        <w:t>Hong Kong Monetary Authority</w:t>
      </w:r>
    </w:p>
    <w:p w14:paraId="7F091F36" w14:textId="77777777" w:rsidR="00505294" w:rsidRPr="00200547" w:rsidRDefault="00505294">
      <w:pPr>
        <w:spacing w:line="340" w:lineRule="atLeast"/>
        <w:jc w:val="center"/>
        <w:rPr>
          <w:rFonts w:ascii="Arial" w:hAnsi="Arial" w:cs="Arial"/>
          <w:b/>
          <w:color w:val="auto"/>
          <w:sz w:val="24"/>
          <w:szCs w:val="24"/>
          <w:lang w:eastAsia="en-US"/>
        </w:rPr>
      </w:pPr>
      <w:r w:rsidRPr="00200547">
        <w:rPr>
          <w:rFonts w:ascii="Arial" w:hAnsi="Arial" w:cs="Arial"/>
          <w:b/>
          <w:color w:val="auto"/>
          <w:sz w:val="24"/>
          <w:szCs w:val="24"/>
          <w:lang w:eastAsia="en-US"/>
        </w:rPr>
        <w:t>Central Moneymarkets Unit</w:t>
      </w:r>
    </w:p>
    <w:p w14:paraId="1BFF5E6B" w14:textId="77777777" w:rsidR="00505294" w:rsidRPr="00200547" w:rsidRDefault="00505294">
      <w:pPr>
        <w:spacing w:line="340" w:lineRule="atLeast"/>
        <w:jc w:val="center"/>
        <w:rPr>
          <w:rFonts w:ascii="Arial" w:hAnsi="Arial" w:cs="Arial"/>
          <w:b/>
          <w:color w:val="auto"/>
          <w:sz w:val="24"/>
          <w:szCs w:val="24"/>
          <w:u w:val="single"/>
          <w:lang w:eastAsia="en-US"/>
        </w:rPr>
      </w:pPr>
      <w:r w:rsidRPr="00200547">
        <w:rPr>
          <w:rFonts w:ascii="Arial" w:hAnsi="Arial" w:cs="Arial"/>
          <w:b/>
          <w:color w:val="auto"/>
          <w:sz w:val="24"/>
          <w:szCs w:val="24"/>
          <w:u w:val="single"/>
          <w:lang w:eastAsia="en-US"/>
        </w:rPr>
        <w:t>CMU Instrument Bid Form</w:t>
      </w:r>
    </w:p>
    <w:p w14:paraId="2ED5F5D4" w14:textId="77777777" w:rsidR="00505294" w:rsidRPr="00200547" w:rsidRDefault="00505294">
      <w:pPr>
        <w:spacing w:line="340" w:lineRule="atLeast"/>
        <w:jc w:val="center"/>
        <w:rPr>
          <w:rFonts w:ascii="Arial" w:hAnsi="Arial" w:cs="Arial"/>
          <w:b/>
          <w:color w:val="auto"/>
          <w:sz w:val="28"/>
          <w:szCs w:val="28"/>
          <w:lang w:eastAsia="en-US"/>
        </w:rPr>
      </w:pPr>
      <w:r w:rsidRPr="00200547">
        <w:rPr>
          <w:rFonts w:ascii="Arial" w:hAnsi="Arial" w:cs="Arial"/>
          <w:b/>
          <w:color w:val="auto"/>
          <w:sz w:val="24"/>
          <w:szCs w:val="24"/>
          <w:u w:val="single"/>
          <w:lang w:eastAsia="en-US"/>
        </w:rPr>
        <w:t>New/Cancel</w:t>
      </w:r>
      <w:r w:rsidRPr="00200547">
        <w:rPr>
          <w:rFonts w:ascii="Arial" w:eastAsia="SimHei" w:hAnsi="Arial" w:cs="Arial"/>
          <w:b/>
          <w:color w:val="auto"/>
          <w:sz w:val="30"/>
        </w:rPr>
        <w:t>*</w:t>
      </w:r>
      <w:r w:rsidRPr="00200547">
        <w:rPr>
          <w:rFonts w:ascii="Arial" w:eastAsia="SimHei" w:hAnsi="Arial" w:cs="Arial"/>
          <w:b/>
          <w:color w:val="auto"/>
          <w:sz w:val="30"/>
          <w:szCs w:val="30"/>
          <w:vertAlign w:val="superscript"/>
        </w:rPr>
        <w:t>#</w:t>
      </w:r>
    </w:p>
    <w:tbl>
      <w:tblPr>
        <w:tblW w:w="9565" w:type="dxa"/>
        <w:tblInd w:w="28" w:type="dxa"/>
        <w:tblLayout w:type="fixed"/>
        <w:tblCellMar>
          <w:left w:w="28" w:type="dxa"/>
          <w:right w:w="28" w:type="dxa"/>
        </w:tblCellMar>
        <w:tblLook w:val="0000" w:firstRow="0" w:lastRow="0" w:firstColumn="0" w:lastColumn="0" w:noHBand="0" w:noVBand="0"/>
      </w:tblPr>
      <w:tblGrid>
        <w:gridCol w:w="1233"/>
        <w:gridCol w:w="4927"/>
        <w:gridCol w:w="1520"/>
        <w:gridCol w:w="120"/>
        <w:gridCol w:w="1765"/>
      </w:tblGrid>
      <w:tr w:rsidR="007E3C4E" w:rsidRPr="00200547" w14:paraId="0BF17B0B" w14:textId="77777777">
        <w:tc>
          <w:tcPr>
            <w:tcW w:w="1233" w:type="dxa"/>
          </w:tcPr>
          <w:p w14:paraId="6144A061" w14:textId="77777777" w:rsidR="00505294" w:rsidRPr="00200547" w:rsidRDefault="00505294">
            <w:pPr>
              <w:tabs>
                <w:tab w:val="right" w:pos="1172"/>
              </w:tabs>
              <w:spacing w:line="240" w:lineRule="auto"/>
              <w:rPr>
                <w:rFonts w:ascii="Arial" w:hAnsi="Arial" w:cs="Arial"/>
                <w:color w:val="auto"/>
                <w:sz w:val="20"/>
                <w:szCs w:val="20"/>
              </w:rPr>
            </w:pPr>
            <w:r w:rsidRPr="00200547">
              <w:rPr>
                <w:rFonts w:ascii="Arial" w:hAnsi="Arial" w:cs="Arial"/>
                <w:color w:val="auto"/>
                <w:sz w:val="20"/>
                <w:szCs w:val="20"/>
              </w:rPr>
              <w:t>To</w:t>
            </w:r>
            <w:r w:rsidRPr="00200547">
              <w:rPr>
                <w:rFonts w:ascii="Arial" w:hAnsi="Arial" w:cs="Arial"/>
                <w:color w:val="auto"/>
                <w:sz w:val="20"/>
                <w:szCs w:val="20"/>
              </w:rPr>
              <w:tab/>
              <w:t>:</w:t>
            </w:r>
          </w:p>
        </w:tc>
        <w:tc>
          <w:tcPr>
            <w:tcW w:w="4927" w:type="dxa"/>
          </w:tcPr>
          <w:p w14:paraId="20C98554" w14:textId="77777777" w:rsidR="00505294" w:rsidRPr="00200547" w:rsidRDefault="00505294">
            <w:pPr>
              <w:spacing w:line="240" w:lineRule="auto"/>
              <w:rPr>
                <w:rFonts w:ascii="Arial" w:hAnsi="Arial" w:cs="Arial"/>
                <w:color w:val="auto"/>
                <w:sz w:val="20"/>
                <w:szCs w:val="20"/>
              </w:rPr>
            </w:pPr>
            <w:r w:rsidRPr="00200547">
              <w:rPr>
                <w:rFonts w:ascii="Arial" w:hAnsi="Arial" w:cs="Arial"/>
                <w:color w:val="auto"/>
                <w:sz w:val="20"/>
                <w:szCs w:val="20"/>
              </w:rPr>
              <w:t>Monetary Authority</w:t>
            </w:r>
          </w:p>
        </w:tc>
        <w:tc>
          <w:tcPr>
            <w:tcW w:w="1520" w:type="dxa"/>
          </w:tcPr>
          <w:p w14:paraId="6E0CA40E" w14:textId="77777777" w:rsidR="00505294" w:rsidRPr="00200547" w:rsidRDefault="00505294">
            <w:pPr>
              <w:spacing w:line="240" w:lineRule="auto"/>
              <w:jc w:val="right"/>
              <w:rPr>
                <w:rFonts w:ascii="Arial" w:hAnsi="Arial" w:cs="Arial"/>
                <w:color w:val="auto"/>
                <w:sz w:val="20"/>
                <w:szCs w:val="20"/>
              </w:rPr>
            </w:pPr>
            <w:r w:rsidRPr="00200547">
              <w:rPr>
                <w:rFonts w:ascii="Arial" w:hAnsi="Arial" w:cs="Arial"/>
                <w:color w:val="auto"/>
                <w:sz w:val="20"/>
                <w:szCs w:val="20"/>
              </w:rPr>
              <w:t>Date:</w:t>
            </w:r>
          </w:p>
        </w:tc>
        <w:tc>
          <w:tcPr>
            <w:tcW w:w="120" w:type="dxa"/>
          </w:tcPr>
          <w:p w14:paraId="75FEA44B" w14:textId="77777777" w:rsidR="00505294" w:rsidRPr="00200547" w:rsidRDefault="00505294">
            <w:pPr>
              <w:spacing w:line="240" w:lineRule="auto"/>
              <w:rPr>
                <w:rFonts w:ascii="Arial" w:hAnsi="Arial" w:cs="Arial"/>
                <w:color w:val="auto"/>
                <w:sz w:val="20"/>
                <w:szCs w:val="20"/>
              </w:rPr>
            </w:pPr>
          </w:p>
        </w:tc>
        <w:tc>
          <w:tcPr>
            <w:tcW w:w="1765" w:type="dxa"/>
            <w:tcBorders>
              <w:bottom w:val="single" w:sz="4" w:space="0" w:color="auto"/>
            </w:tcBorders>
          </w:tcPr>
          <w:p w14:paraId="44F1D126" w14:textId="77777777" w:rsidR="00505294" w:rsidRPr="00200547" w:rsidRDefault="00505294">
            <w:pPr>
              <w:pStyle w:val="FootnoteText"/>
              <w:rPr>
                <w:rFonts w:ascii="Arial" w:hAnsi="Arial" w:cs="Arial"/>
                <w:sz w:val="20"/>
              </w:rPr>
            </w:pPr>
          </w:p>
        </w:tc>
      </w:tr>
      <w:tr w:rsidR="007E3C4E" w:rsidRPr="00200547" w14:paraId="1676B184" w14:textId="77777777">
        <w:tc>
          <w:tcPr>
            <w:tcW w:w="1233" w:type="dxa"/>
          </w:tcPr>
          <w:p w14:paraId="4A0A1F79" w14:textId="77777777" w:rsidR="00505294" w:rsidRPr="00200547" w:rsidRDefault="00505294">
            <w:pPr>
              <w:tabs>
                <w:tab w:val="right" w:pos="1172"/>
              </w:tabs>
              <w:spacing w:line="240" w:lineRule="auto"/>
              <w:rPr>
                <w:rFonts w:ascii="Arial" w:hAnsi="Arial" w:cs="Arial"/>
                <w:color w:val="auto"/>
                <w:sz w:val="20"/>
                <w:szCs w:val="20"/>
              </w:rPr>
            </w:pPr>
            <w:r w:rsidRPr="00200547">
              <w:rPr>
                <w:rFonts w:ascii="Arial" w:hAnsi="Arial" w:cs="Arial"/>
                <w:color w:val="auto"/>
                <w:sz w:val="20"/>
                <w:szCs w:val="20"/>
              </w:rPr>
              <w:t>Facsimile</w:t>
            </w:r>
            <w:r w:rsidRPr="00200547">
              <w:rPr>
                <w:rFonts w:ascii="Arial" w:hAnsi="Arial" w:cs="Arial"/>
                <w:color w:val="auto"/>
                <w:sz w:val="20"/>
                <w:szCs w:val="20"/>
              </w:rPr>
              <w:tab/>
              <w:t>:</w:t>
            </w:r>
          </w:p>
        </w:tc>
        <w:tc>
          <w:tcPr>
            <w:tcW w:w="4927" w:type="dxa"/>
          </w:tcPr>
          <w:p w14:paraId="016653EE" w14:textId="77777777" w:rsidR="00505294" w:rsidRPr="00200547" w:rsidRDefault="00505294">
            <w:pPr>
              <w:pStyle w:val="FootnoteText"/>
              <w:rPr>
                <w:rFonts w:ascii="Arial" w:hAnsi="Arial" w:cs="Arial"/>
                <w:sz w:val="20"/>
              </w:rPr>
            </w:pPr>
            <w:r w:rsidRPr="00200547">
              <w:rPr>
                <w:rFonts w:ascii="Arial" w:hAnsi="Arial" w:cs="Arial"/>
                <w:sz w:val="20"/>
              </w:rPr>
              <w:t>(852) 2878 1676-</w:t>
            </w:r>
            <w:r w:rsidR="008217C6">
              <w:rPr>
                <w:rFonts w:ascii="Arial" w:hAnsi="Arial" w:cs="Arial"/>
                <w:sz w:val="20"/>
              </w:rPr>
              <w:t>7</w:t>
            </w:r>
          </w:p>
        </w:tc>
        <w:tc>
          <w:tcPr>
            <w:tcW w:w="1520" w:type="dxa"/>
          </w:tcPr>
          <w:p w14:paraId="4DAE8550" w14:textId="77777777" w:rsidR="00505294" w:rsidRPr="00200547" w:rsidRDefault="00505294">
            <w:pPr>
              <w:spacing w:line="240" w:lineRule="auto"/>
              <w:jc w:val="center"/>
              <w:rPr>
                <w:rFonts w:ascii="Arial" w:hAnsi="Arial" w:cs="Arial"/>
                <w:color w:val="auto"/>
                <w:sz w:val="20"/>
                <w:szCs w:val="20"/>
              </w:rPr>
            </w:pPr>
          </w:p>
        </w:tc>
        <w:tc>
          <w:tcPr>
            <w:tcW w:w="120" w:type="dxa"/>
          </w:tcPr>
          <w:p w14:paraId="3B3D1C37" w14:textId="77777777" w:rsidR="00505294" w:rsidRPr="00200547" w:rsidRDefault="00505294">
            <w:pPr>
              <w:spacing w:line="240" w:lineRule="auto"/>
              <w:rPr>
                <w:rFonts w:ascii="Arial" w:hAnsi="Arial" w:cs="Arial"/>
                <w:color w:val="auto"/>
                <w:sz w:val="20"/>
                <w:szCs w:val="20"/>
              </w:rPr>
            </w:pPr>
          </w:p>
        </w:tc>
        <w:tc>
          <w:tcPr>
            <w:tcW w:w="1765" w:type="dxa"/>
            <w:tcBorders>
              <w:top w:val="single" w:sz="4" w:space="0" w:color="auto"/>
            </w:tcBorders>
          </w:tcPr>
          <w:p w14:paraId="32703A3B" w14:textId="77777777" w:rsidR="00505294" w:rsidRPr="00200547" w:rsidRDefault="00505294">
            <w:pPr>
              <w:spacing w:line="240" w:lineRule="auto"/>
              <w:rPr>
                <w:rFonts w:ascii="Arial" w:hAnsi="Arial" w:cs="Arial"/>
                <w:color w:val="auto"/>
                <w:sz w:val="20"/>
                <w:szCs w:val="20"/>
              </w:rPr>
            </w:pPr>
          </w:p>
        </w:tc>
      </w:tr>
      <w:tr w:rsidR="007E3C4E" w:rsidRPr="00200547" w14:paraId="253D157A" w14:textId="77777777">
        <w:trPr>
          <w:trHeight w:val="146"/>
        </w:trPr>
        <w:tc>
          <w:tcPr>
            <w:tcW w:w="1233" w:type="dxa"/>
          </w:tcPr>
          <w:p w14:paraId="6284E4C0" w14:textId="77777777" w:rsidR="00505294" w:rsidRPr="00200547" w:rsidRDefault="00505294">
            <w:pPr>
              <w:spacing w:line="240" w:lineRule="auto"/>
              <w:rPr>
                <w:rFonts w:ascii="Arial" w:hAnsi="Arial" w:cs="Arial"/>
                <w:color w:val="auto"/>
                <w:sz w:val="20"/>
                <w:szCs w:val="20"/>
              </w:rPr>
            </w:pPr>
          </w:p>
        </w:tc>
        <w:tc>
          <w:tcPr>
            <w:tcW w:w="4927" w:type="dxa"/>
          </w:tcPr>
          <w:p w14:paraId="1F4884C0" w14:textId="77777777" w:rsidR="00505294" w:rsidRPr="00200547" w:rsidRDefault="00505294">
            <w:pPr>
              <w:spacing w:line="240" w:lineRule="auto"/>
              <w:rPr>
                <w:rFonts w:ascii="Arial" w:hAnsi="Arial" w:cs="Arial"/>
                <w:color w:val="auto"/>
                <w:sz w:val="20"/>
                <w:szCs w:val="20"/>
              </w:rPr>
            </w:pPr>
          </w:p>
        </w:tc>
        <w:tc>
          <w:tcPr>
            <w:tcW w:w="1520" w:type="dxa"/>
          </w:tcPr>
          <w:p w14:paraId="3C197BEA" w14:textId="77777777" w:rsidR="00505294" w:rsidRPr="00200547" w:rsidRDefault="00505294">
            <w:pPr>
              <w:spacing w:line="240" w:lineRule="auto"/>
              <w:jc w:val="center"/>
              <w:rPr>
                <w:rFonts w:ascii="Arial" w:hAnsi="Arial" w:cs="Arial"/>
                <w:color w:val="auto"/>
                <w:sz w:val="20"/>
                <w:szCs w:val="20"/>
              </w:rPr>
            </w:pPr>
          </w:p>
        </w:tc>
        <w:tc>
          <w:tcPr>
            <w:tcW w:w="120" w:type="dxa"/>
          </w:tcPr>
          <w:p w14:paraId="38B38265" w14:textId="77777777" w:rsidR="00505294" w:rsidRPr="00200547" w:rsidRDefault="00505294">
            <w:pPr>
              <w:spacing w:line="240" w:lineRule="auto"/>
              <w:rPr>
                <w:rFonts w:ascii="Arial" w:hAnsi="Arial" w:cs="Arial"/>
                <w:color w:val="auto"/>
                <w:sz w:val="20"/>
                <w:szCs w:val="20"/>
              </w:rPr>
            </w:pPr>
          </w:p>
        </w:tc>
        <w:tc>
          <w:tcPr>
            <w:tcW w:w="1765" w:type="dxa"/>
          </w:tcPr>
          <w:p w14:paraId="599E33FB" w14:textId="77777777" w:rsidR="00505294" w:rsidRPr="00200547" w:rsidRDefault="00505294">
            <w:pPr>
              <w:spacing w:line="240" w:lineRule="auto"/>
              <w:rPr>
                <w:rFonts w:ascii="Arial" w:hAnsi="Arial" w:cs="Arial"/>
                <w:color w:val="auto"/>
                <w:sz w:val="20"/>
                <w:szCs w:val="20"/>
              </w:rPr>
            </w:pPr>
          </w:p>
        </w:tc>
      </w:tr>
      <w:tr w:rsidR="007E3C4E" w:rsidRPr="00200547" w14:paraId="1AA9A741" w14:textId="77777777">
        <w:tc>
          <w:tcPr>
            <w:tcW w:w="1233" w:type="dxa"/>
          </w:tcPr>
          <w:p w14:paraId="336DB560" w14:textId="77777777" w:rsidR="00505294" w:rsidRPr="00200547" w:rsidRDefault="00505294">
            <w:pPr>
              <w:tabs>
                <w:tab w:val="right" w:pos="1172"/>
              </w:tabs>
              <w:spacing w:line="240" w:lineRule="auto"/>
              <w:rPr>
                <w:rFonts w:ascii="Arial" w:hAnsi="Arial" w:cs="Arial"/>
                <w:color w:val="auto"/>
                <w:sz w:val="20"/>
                <w:szCs w:val="20"/>
              </w:rPr>
            </w:pPr>
            <w:r w:rsidRPr="00200547">
              <w:rPr>
                <w:rFonts w:ascii="Arial" w:hAnsi="Arial" w:cs="Arial"/>
                <w:color w:val="auto"/>
                <w:sz w:val="20"/>
                <w:szCs w:val="20"/>
              </w:rPr>
              <w:t>From</w:t>
            </w:r>
            <w:r w:rsidRPr="00200547">
              <w:rPr>
                <w:rFonts w:ascii="Arial" w:hAnsi="Arial" w:cs="Arial"/>
                <w:color w:val="auto"/>
                <w:sz w:val="20"/>
                <w:szCs w:val="20"/>
              </w:rPr>
              <w:tab/>
              <w:t>:</w:t>
            </w:r>
          </w:p>
        </w:tc>
        <w:tc>
          <w:tcPr>
            <w:tcW w:w="4927" w:type="dxa"/>
            <w:tcBorders>
              <w:bottom w:val="single" w:sz="4" w:space="0" w:color="auto"/>
            </w:tcBorders>
          </w:tcPr>
          <w:p w14:paraId="12D3E55E" w14:textId="77777777" w:rsidR="00505294" w:rsidRPr="00200547" w:rsidRDefault="00505294">
            <w:pPr>
              <w:spacing w:line="240" w:lineRule="auto"/>
              <w:rPr>
                <w:rFonts w:ascii="Arial" w:hAnsi="Arial" w:cs="Arial"/>
                <w:color w:val="auto"/>
                <w:sz w:val="20"/>
                <w:szCs w:val="20"/>
              </w:rPr>
            </w:pPr>
          </w:p>
        </w:tc>
        <w:tc>
          <w:tcPr>
            <w:tcW w:w="1520" w:type="dxa"/>
            <w:tcBorders>
              <w:bottom w:val="single" w:sz="4" w:space="0" w:color="auto"/>
            </w:tcBorders>
          </w:tcPr>
          <w:p w14:paraId="6612F12E" w14:textId="77777777" w:rsidR="00505294" w:rsidRPr="00200547" w:rsidRDefault="00505294">
            <w:pPr>
              <w:tabs>
                <w:tab w:val="right" w:pos="1464"/>
              </w:tabs>
              <w:spacing w:line="240" w:lineRule="auto"/>
              <w:rPr>
                <w:rFonts w:ascii="Arial" w:hAnsi="Arial" w:cs="Arial"/>
                <w:color w:val="auto"/>
                <w:sz w:val="20"/>
                <w:szCs w:val="20"/>
              </w:rPr>
            </w:pPr>
            <w:r w:rsidRPr="00200547">
              <w:rPr>
                <w:rFonts w:ascii="Arial" w:hAnsi="Arial" w:cs="Arial"/>
                <w:color w:val="auto"/>
                <w:sz w:val="20"/>
                <w:szCs w:val="20"/>
              </w:rPr>
              <w:t>(</w:t>
            </w:r>
            <w:r w:rsidRPr="00200547">
              <w:rPr>
                <w:rFonts w:ascii="Arial" w:hAnsi="Arial" w:cs="Arial"/>
                <w:color w:val="auto"/>
                <w:sz w:val="20"/>
                <w:szCs w:val="20"/>
              </w:rPr>
              <w:tab/>
              <w:t>)</w:t>
            </w:r>
          </w:p>
        </w:tc>
        <w:tc>
          <w:tcPr>
            <w:tcW w:w="120" w:type="dxa"/>
          </w:tcPr>
          <w:p w14:paraId="7FBB6E17" w14:textId="77777777" w:rsidR="00505294" w:rsidRPr="00200547" w:rsidRDefault="00505294">
            <w:pPr>
              <w:spacing w:line="240" w:lineRule="auto"/>
              <w:rPr>
                <w:rFonts w:ascii="Arial" w:hAnsi="Arial" w:cs="Arial"/>
                <w:color w:val="auto"/>
                <w:sz w:val="20"/>
                <w:szCs w:val="20"/>
              </w:rPr>
            </w:pPr>
          </w:p>
        </w:tc>
        <w:tc>
          <w:tcPr>
            <w:tcW w:w="1765" w:type="dxa"/>
          </w:tcPr>
          <w:p w14:paraId="547B5646" w14:textId="77777777" w:rsidR="00505294" w:rsidRPr="00200547" w:rsidRDefault="00505294">
            <w:pPr>
              <w:spacing w:line="240" w:lineRule="auto"/>
              <w:rPr>
                <w:rFonts w:ascii="Arial" w:hAnsi="Arial" w:cs="Arial"/>
                <w:color w:val="auto"/>
                <w:sz w:val="20"/>
                <w:szCs w:val="20"/>
              </w:rPr>
            </w:pPr>
          </w:p>
        </w:tc>
      </w:tr>
      <w:tr w:rsidR="00505294" w:rsidRPr="00200547" w14:paraId="7F442141" w14:textId="77777777">
        <w:tc>
          <w:tcPr>
            <w:tcW w:w="1233" w:type="dxa"/>
          </w:tcPr>
          <w:p w14:paraId="79822AB2" w14:textId="77777777" w:rsidR="00505294" w:rsidRPr="00200547" w:rsidRDefault="00505294">
            <w:pPr>
              <w:spacing w:line="240" w:lineRule="auto"/>
              <w:rPr>
                <w:rFonts w:ascii="Arial" w:hAnsi="Arial" w:cs="Arial"/>
                <w:color w:val="auto"/>
                <w:sz w:val="20"/>
                <w:szCs w:val="20"/>
              </w:rPr>
            </w:pPr>
          </w:p>
        </w:tc>
        <w:tc>
          <w:tcPr>
            <w:tcW w:w="4927" w:type="dxa"/>
          </w:tcPr>
          <w:p w14:paraId="11ACF6D0" w14:textId="77777777" w:rsidR="00505294" w:rsidRPr="00200547" w:rsidRDefault="00505294">
            <w:pPr>
              <w:pStyle w:val="NoteHeading"/>
              <w:rPr>
                <w:rFonts w:ascii="Arial" w:hAnsi="Arial" w:cs="Arial"/>
                <w:sz w:val="20"/>
                <w:lang w:val="en-US"/>
              </w:rPr>
            </w:pPr>
            <w:r w:rsidRPr="00200547">
              <w:rPr>
                <w:rFonts w:ascii="Arial" w:hAnsi="Arial" w:cs="Arial"/>
                <w:sz w:val="20"/>
                <w:lang w:val="en-US"/>
              </w:rPr>
              <w:t>Name of CMU Member</w:t>
            </w:r>
          </w:p>
        </w:tc>
        <w:tc>
          <w:tcPr>
            <w:tcW w:w="1520" w:type="dxa"/>
          </w:tcPr>
          <w:p w14:paraId="33853EB0" w14:textId="77777777" w:rsidR="00505294" w:rsidRPr="00200547" w:rsidRDefault="00505294">
            <w:pPr>
              <w:tabs>
                <w:tab w:val="left" w:pos="315"/>
                <w:tab w:val="center" w:pos="646"/>
              </w:tabs>
              <w:spacing w:line="240" w:lineRule="auto"/>
              <w:jc w:val="center"/>
              <w:rPr>
                <w:rFonts w:ascii="Arial" w:hAnsi="Arial" w:cs="Arial"/>
                <w:color w:val="auto"/>
                <w:sz w:val="20"/>
                <w:szCs w:val="20"/>
              </w:rPr>
            </w:pPr>
            <w:r w:rsidRPr="00200547">
              <w:rPr>
                <w:rFonts w:ascii="Arial" w:hAnsi="Arial" w:cs="Arial"/>
                <w:color w:val="auto"/>
                <w:sz w:val="20"/>
                <w:szCs w:val="20"/>
              </w:rPr>
              <w:t>Code</w:t>
            </w:r>
          </w:p>
        </w:tc>
        <w:tc>
          <w:tcPr>
            <w:tcW w:w="120" w:type="dxa"/>
          </w:tcPr>
          <w:p w14:paraId="19C2B776" w14:textId="77777777" w:rsidR="00505294" w:rsidRPr="00200547" w:rsidRDefault="00505294">
            <w:pPr>
              <w:spacing w:line="240" w:lineRule="auto"/>
              <w:rPr>
                <w:rFonts w:ascii="Arial" w:hAnsi="Arial" w:cs="Arial"/>
                <w:color w:val="auto"/>
                <w:sz w:val="20"/>
                <w:szCs w:val="20"/>
              </w:rPr>
            </w:pPr>
          </w:p>
        </w:tc>
        <w:tc>
          <w:tcPr>
            <w:tcW w:w="1765" w:type="dxa"/>
          </w:tcPr>
          <w:p w14:paraId="5E04F552" w14:textId="77777777" w:rsidR="00505294" w:rsidRPr="00200547" w:rsidRDefault="00505294">
            <w:pPr>
              <w:spacing w:line="240" w:lineRule="auto"/>
              <w:rPr>
                <w:rFonts w:ascii="Arial" w:hAnsi="Arial" w:cs="Arial"/>
                <w:color w:val="auto"/>
                <w:sz w:val="20"/>
                <w:szCs w:val="20"/>
              </w:rPr>
            </w:pPr>
          </w:p>
        </w:tc>
      </w:tr>
    </w:tbl>
    <w:p w14:paraId="73BCABFA" w14:textId="77777777" w:rsidR="00505294" w:rsidRPr="00200547" w:rsidRDefault="00505294">
      <w:pPr>
        <w:tabs>
          <w:tab w:val="left" w:pos="2340"/>
          <w:tab w:val="left" w:pos="5850"/>
        </w:tabs>
        <w:spacing w:line="240" w:lineRule="auto"/>
        <w:ind w:right="-1177"/>
        <w:rPr>
          <w:rFonts w:ascii="Arial" w:hAnsi="Arial" w:cs="Arial"/>
          <w:color w:val="auto"/>
          <w:sz w:val="20"/>
        </w:rPr>
      </w:pPr>
    </w:p>
    <w:p w14:paraId="281E8F48" w14:textId="77777777" w:rsidR="00505294" w:rsidRPr="00200547" w:rsidRDefault="00505294">
      <w:pPr>
        <w:tabs>
          <w:tab w:val="left" w:pos="2340"/>
          <w:tab w:val="left" w:pos="5850"/>
        </w:tabs>
        <w:spacing w:line="240" w:lineRule="auto"/>
        <w:ind w:right="-1177"/>
        <w:rPr>
          <w:rFonts w:ascii="Arial" w:hAnsi="Arial" w:cs="Arial"/>
          <w:color w:val="auto"/>
          <w:sz w:val="20"/>
          <w:lang w:eastAsia="zh-CN"/>
        </w:rPr>
      </w:pPr>
      <w:r w:rsidRPr="00200547">
        <w:rPr>
          <w:rFonts w:ascii="Arial" w:hAnsi="Arial" w:cs="Arial"/>
          <w:color w:val="auto"/>
          <w:sz w:val="20"/>
        </w:rPr>
        <w:t>We hereby submit/cancel</w:t>
      </w:r>
      <w:r w:rsidRPr="00200547">
        <w:rPr>
          <w:rFonts w:ascii="Arial" w:hAnsi="Arial" w:cs="Arial"/>
          <w:color w:val="auto"/>
          <w:sz w:val="20"/>
          <w:vertAlign w:val="superscript"/>
        </w:rPr>
        <w:t>#</w:t>
      </w:r>
      <w:r w:rsidRPr="00200547">
        <w:rPr>
          <w:rFonts w:ascii="Arial" w:hAnsi="Arial" w:cs="Arial"/>
          <w:color w:val="auto"/>
          <w:sz w:val="20"/>
        </w:rPr>
        <w:t xml:space="preserve"> the following bid(s):</w:t>
      </w:r>
    </w:p>
    <w:p w14:paraId="376B8191" w14:textId="77777777" w:rsidR="00505294" w:rsidRPr="00200547" w:rsidRDefault="00505294">
      <w:pPr>
        <w:tabs>
          <w:tab w:val="left" w:pos="2340"/>
          <w:tab w:val="left" w:pos="5850"/>
        </w:tabs>
        <w:spacing w:line="240" w:lineRule="auto"/>
        <w:rPr>
          <w:rFonts w:ascii="Arial" w:hAnsi="Arial" w:cs="Arial"/>
          <w:color w:val="auto"/>
          <w:sz w:val="20"/>
          <w:lang w:eastAsia="zh-C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505294" w:rsidRPr="00200547" w14:paraId="089A925A" w14:textId="77777777">
        <w:tc>
          <w:tcPr>
            <w:tcW w:w="9180" w:type="dxa"/>
          </w:tcPr>
          <w:p w14:paraId="32566B4C" w14:textId="77777777" w:rsidR="00505294" w:rsidRPr="00200547" w:rsidRDefault="00505294">
            <w:pPr>
              <w:tabs>
                <w:tab w:val="left" w:pos="2340"/>
                <w:tab w:val="left" w:pos="4680"/>
                <w:tab w:val="left" w:pos="5850"/>
                <w:tab w:val="left" w:pos="6480"/>
                <w:tab w:val="left" w:pos="7740"/>
                <w:tab w:val="left" w:pos="8550"/>
                <w:tab w:val="left" w:pos="8820"/>
              </w:tabs>
              <w:spacing w:line="240" w:lineRule="auto"/>
              <w:rPr>
                <w:rFonts w:ascii="Arial" w:hAnsi="Arial" w:cs="Arial"/>
                <w:color w:val="auto"/>
                <w:sz w:val="20"/>
                <w:lang w:eastAsia="zh-CN"/>
              </w:rPr>
            </w:pPr>
          </w:p>
          <w:p w14:paraId="385F115C" w14:textId="77777777" w:rsidR="00505294" w:rsidRPr="00200547" w:rsidRDefault="00505294">
            <w:pPr>
              <w:tabs>
                <w:tab w:val="left" w:pos="2340"/>
                <w:tab w:val="left" w:pos="4680"/>
                <w:tab w:val="left" w:pos="5850"/>
                <w:tab w:val="left" w:pos="6480"/>
                <w:tab w:val="left" w:pos="7740"/>
                <w:tab w:val="left" w:pos="8550"/>
                <w:tab w:val="left" w:pos="8820"/>
              </w:tabs>
              <w:spacing w:line="240" w:lineRule="auto"/>
              <w:rPr>
                <w:rFonts w:ascii="Arial" w:hAnsi="Arial" w:cs="Arial"/>
                <w:color w:val="auto"/>
                <w:sz w:val="20"/>
                <w:u w:val="single"/>
                <w:lang w:eastAsia="zh-CN"/>
              </w:rPr>
            </w:pPr>
            <w:r w:rsidRPr="00200547">
              <w:rPr>
                <w:rFonts w:ascii="Arial" w:hAnsi="Arial" w:cs="Arial"/>
                <w:color w:val="auto"/>
                <w:sz w:val="20"/>
              </w:rPr>
              <w:t>CMU Instrument Number ______________________ to be issued on _______________________</w:t>
            </w:r>
          </w:p>
          <w:p w14:paraId="3229CC97" w14:textId="77777777" w:rsidR="00505294" w:rsidRPr="00200547" w:rsidRDefault="00505294">
            <w:pPr>
              <w:tabs>
                <w:tab w:val="left" w:pos="1890"/>
                <w:tab w:val="left" w:pos="5040"/>
                <w:tab w:val="left" w:pos="5850"/>
              </w:tabs>
              <w:spacing w:line="240" w:lineRule="auto"/>
              <w:rPr>
                <w:rFonts w:ascii="Arial" w:hAnsi="Arial" w:cs="Arial"/>
                <w:color w:val="auto"/>
                <w:sz w:val="20"/>
                <w:u w:val="single"/>
                <w:lang w:eastAsia="zh-CN"/>
              </w:rPr>
            </w:pPr>
          </w:p>
        </w:tc>
      </w:tr>
    </w:tbl>
    <w:p w14:paraId="2CED43D7" w14:textId="77777777" w:rsidR="00505294" w:rsidRPr="00200547" w:rsidRDefault="00505294">
      <w:pPr>
        <w:tabs>
          <w:tab w:val="left" w:pos="2070"/>
          <w:tab w:val="left" w:pos="3960"/>
          <w:tab w:val="left" w:pos="5850"/>
        </w:tabs>
        <w:spacing w:line="240" w:lineRule="auto"/>
        <w:jc w:val="left"/>
        <w:rPr>
          <w:rFonts w:ascii="Arial" w:eastAsia="SimHei" w:hAnsi="Arial" w:cs="Arial"/>
          <w:b/>
          <w:color w:val="auto"/>
          <w:sz w:val="20"/>
          <w:lang w:eastAsia="zh-CN"/>
        </w:rPr>
      </w:pPr>
    </w:p>
    <w:p w14:paraId="25504AFA" w14:textId="77777777" w:rsidR="00505294" w:rsidRPr="00200547" w:rsidRDefault="00505294">
      <w:pPr>
        <w:tabs>
          <w:tab w:val="left" w:pos="2070"/>
          <w:tab w:val="left" w:pos="3960"/>
          <w:tab w:val="left" w:pos="5850"/>
        </w:tabs>
        <w:spacing w:line="240" w:lineRule="auto"/>
        <w:jc w:val="left"/>
        <w:rPr>
          <w:rFonts w:ascii="Arial" w:eastAsia="SimHei" w:hAnsi="Arial" w:cs="Arial"/>
          <w:b/>
          <w:color w:val="auto"/>
          <w:sz w:val="20"/>
          <w:lang w:val="en-GB" w:eastAsia="zh-CN"/>
        </w:rPr>
      </w:pPr>
      <w:r w:rsidRPr="00200547">
        <w:rPr>
          <w:rFonts w:ascii="Arial" w:eastAsia="SimHei" w:hAnsi="Arial" w:cs="Arial"/>
          <w:b/>
          <w:color w:val="auto"/>
          <w:sz w:val="20"/>
          <w:lang w:val="en-GB"/>
        </w:rPr>
        <w:t xml:space="preserve">CMU Member TRN (max 16 chars) </w:t>
      </w:r>
      <w:r w:rsidRPr="00200547">
        <w:rPr>
          <w:rFonts w:ascii="Arial" w:eastAsia="SimHei" w:hAnsi="Arial" w:cs="Arial"/>
          <w:b/>
          <w:color w:val="auto"/>
          <w:sz w:val="20"/>
          <w:lang w:val="en-GB" w:eastAsia="zh-CN"/>
        </w:rPr>
        <w:t>_____________________________</w:t>
      </w:r>
    </w:p>
    <w:p w14:paraId="14591152" w14:textId="77777777" w:rsidR="00505294" w:rsidRPr="00200547" w:rsidRDefault="00505294">
      <w:pPr>
        <w:tabs>
          <w:tab w:val="left" w:pos="2070"/>
          <w:tab w:val="left" w:pos="3960"/>
          <w:tab w:val="left" w:pos="5850"/>
        </w:tabs>
        <w:spacing w:line="240" w:lineRule="auto"/>
        <w:jc w:val="left"/>
        <w:rPr>
          <w:rFonts w:ascii="Arial" w:eastAsia="SimHei" w:hAnsi="Arial" w:cs="Arial"/>
          <w:b/>
          <w:color w:val="auto"/>
          <w:sz w:val="20"/>
          <w:lang w:val="en-GB" w:eastAsia="zh-CN"/>
        </w:rPr>
      </w:pPr>
    </w:p>
    <w:p w14:paraId="37FA289E" w14:textId="77777777" w:rsidR="00505294" w:rsidRPr="00200547" w:rsidRDefault="00505294">
      <w:pPr>
        <w:tabs>
          <w:tab w:val="left" w:pos="2070"/>
          <w:tab w:val="left" w:pos="3960"/>
          <w:tab w:val="left" w:pos="5850"/>
        </w:tabs>
        <w:spacing w:line="240" w:lineRule="auto"/>
        <w:jc w:val="left"/>
        <w:rPr>
          <w:rFonts w:ascii="Arial" w:eastAsia="SimHei" w:hAnsi="Arial" w:cs="Arial"/>
          <w:b/>
          <w:color w:val="auto"/>
          <w:sz w:val="20"/>
          <w:lang w:eastAsia="zh-CN"/>
        </w:rPr>
      </w:pPr>
      <w:r w:rsidRPr="00200547">
        <w:rPr>
          <w:rFonts w:ascii="Arial" w:eastAsia="SimHei" w:hAnsi="Arial" w:cs="Arial"/>
          <w:b/>
          <w:color w:val="auto"/>
          <w:sz w:val="20"/>
        </w:rPr>
        <w:t>Original CMU Member TRN (for cancellation only) _____________________________</w:t>
      </w:r>
    </w:p>
    <w:p w14:paraId="12F50739" w14:textId="77777777" w:rsidR="00505294" w:rsidRPr="00200547" w:rsidRDefault="00505294">
      <w:pPr>
        <w:tabs>
          <w:tab w:val="left" w:pos="2340"/>
          <w:tab w:val="left" w:pos="5850"/>
        </w:tabs>
        <w:spacing w:line="240" w:lineRule="auto"/>
        <w:rPr>
          <w:rFonts w:ascii="Arial" w:eastAsia="SimHei" w:hAnsi="Arial" w:cs="Arial"/>
          <w:b/>
          <w:color w:val="auto"/>
          <w:sz w:val="20"/>
          <w:u w:val="single"/>
          <w:lang w:eastAsia="zh-CN"/>
        </w:rPr>
      </w:pPr>
    </w:p>
    <w:tbl>
      <w:tblPr>
        <w:tblW w:w="5000" w:type="pct"/>
        <w:tblLayout w:type="fixed"/>
        <w:tblLook w:val="0000" w:firstRow="0" w:lastRow="0" w:firstColumn="0" w:lastColumn="0" w:noHBand="0" w:noVBand="0"/>
      </w:tblPr>
      <w:tblGrid>
        <w:gridCol w:w="3306"/>
        <w:gridCol w:w="2710"/>
        <w:gridCol w:w="3008"/>
      </w:tblGrid>
      <w:tr w:rsidR="007E3C4E" w:rsidRPr="00200547" w14:paraId="7723E57C" w14:textId="77777777">
        <w:trPr>
          <w:trHeight w:val="1050"/>
        </w:trPr>
        <w:tc>
          <w:tcPr>
            <w:tcW w:w="3408" w:type="dxa"/>
            <w:tcBorders>
              <w:top w:val="single" w:sz="24" w:space="0" w:color="auto"/>
              <w:left w:val="single" w:sz="24" w:space="0" w:color="auto"/>
              <w:bottom w:val="single" w:sz="18" w:space="0" w:color="auto"/>
              <w:right w:val="single" w:sz="6" w:space="0" w:color="auto"/>
            </w:tcBorders>
            <w:vAlign w:val="bottom"/>
          </w:tcPr>
          <w:p w14:paraId="5D22D6AB" w14:textId="77777777" w:rsidR="00505294" w:rsidRPr="00200547" w:rsidRDefault="00505294">
            <w:pPr>
              <w:tabs>
                <w:tab w:val="left" w:pos="2070"/>
                <w:tab w:val="left" w:pos="3960"/>
                <w:tab w:val="left" w:pos="5850"/>
              </w:tabs>
              <w:spacing w:line="240" w:lineRule="auto"/>
              <w:ind w:left="5622"/>
              <w:jc w:val="center"/>
              <w:rPr>
                <w:rFonts w:ascii="Arial" w:eastAsia="SimHei" w:hAnsi="Arial" w:cs="Arial"/>
                <w:b/>
                <w:color w:val="auto"/>
                <w:sz w:val="20"/>
                <w:lang w:eastAsia="zh-CN"/>
              </w:rPr>
            </w:pPr>
          </w:p>
          <w:p w14:paraId="1C924A78" w14:textId="77777777" w:rsidR="00505294" w:rsidRPr="00200547" w:rsidRDefault="00200547">
            <w:pPr>
              <w:tabs>
                <w:tab w:val="left" w:pos="2070"/>
                <w:tab w:val="left" w:pos="3960"/>
                <w:tab w:val="left" w:pos="5850"/>
              </w:tabs>
              <w:spacing w:line="240" w:lineRule="auto"/>
              <w:jc w:val="center"/>
              <w:rPr>
                <w:rFonts w:ascii="Arial" w:hAnsi="Arial" w:cs="Arial"/>
                <w:b/>
                <w:color w:val="auto"/>
                <w:sz w:val="20"/>
              </w:rPr>
            </w:pPr>
            <w:r w:rsidRPr="00200547">
              <w:rPr>
                <w:rFonts w:ascii="Arial" w:eastAsia="SimHei" w:hAnsi="Arial" w:cs="Arial"/>
                <w:b/>
                <w:color w:val="auto"/>
                <w:sz w:val="20"/>
              </w:rPr>
              <w:t>Price bid</w:t>
            </w:r>
            <w:r w:rsidR="00505294" w:rsidRPr="00200547">
              <w:rPr>
                <w:rFonts w:ascii="Arial" w:eastAsia="SimHei" w:hAnsi="Arial" w:cs="Arial"/>
                <w:b/>
                <w:color w:val="auto"/>
                <w:sz w:val="20"/>
              </w:rPr>
              <w:t xml:space="preserve"> in an order from the highest </w:t>
            </w:r>
            <w:r w:rsidRPr="00200547">
              <w:rPr>
                <w:rFonts w:ascii="Arial" w:eastAsia="SimHei" w:hAnsi="Arial" w:cs="Arial"/>
                <w:b/>
                <w:color w:val="auto"/>
                <w:sz w:val="20"/>
              </w:rPr>
              <w:t>to the lowest price</w:t>
            </w:r>
            <w:r w:rsidR="00505294" w:rsidRPr="00200547">
              <w:rPr>
                <w:rFonts w:ascii="Arial" w:eastAsia="SimHei" w:hAnsi="Arial" w:cs="Arial"/>
                <w:b/>
                <w:color w:val="auto"/>
                <w:sz w:val="20"/>
              </w:rPr>
              <w:t xml:space="preserve"> (expressed as a percentage to two decimal points) </w:t>
            </w:r>
          </w:p>
        </w:tc>
        <w:tc>
          <w:tcPr>
            <w:tcW w:w="2792" w:type="dxa"/>
            <w:tcBorders>
              <w:top w:val="single" w:sz="24" w:space="0" w:color="auto"/>
              <w:left w:val="single" w:sz="4" w:space="0" w:color="auto"/>
              <w:bottom w:val="single" w:sz="18" w:space="0" w:color="auto"/>
              <w:right w:val="single" w:sz="6" w:space="0" w:color="auto"/>
            </w:tcBorders>
            <w:vAlign w:val="bottom"/>
          </w:tcPr>
          <w:p w14:paraId="333FAA19" w14:textId="77777777" w:rsidR="00505294" w:rsidRPr="00200547" w:rsidRDefault="00505294">
            <w:pPr>
              <w:tabs>
                <w:tab w:val="left" w:pos="2070"/>
                <w:tab w:val="left" w:pos="3960"/>
                <w:tab w:val="left" w:pos="5850"/>
              </w:tabs>
              <w:spacing w:line="240" w:lineRule="auto"/>
              <w:jc w:val="center"/>
              <w:rPr>
                <w:rFonts w:ascii="Arial" w:hAnsi="Arial" w:cs="Arial"/>
                <w:b/>
                <w:color w:val="auto"/>
                <w:sz w:val="20"/>
              </w:rPr>
            </w:pPr>
            <w:r w:rsidRPr="00200547">
              <w:rPr>
                <w:rFonts w:ascii="Arial" w:eastAsia="SimHei" w:hAnsi="Arial" w:cs="Arial"/>
                <w:b/>
                <w:color w:val="auto"/>
                <w:sz w:val="20"/>
              </w:rPr>
              <w:t>Principal amount tendered (RMB500,000 or its integral multiple)</w:t>
            </w:r>
          </w:p>
        </w:tc>
        <w:tc>
          <w:tcPr>
            <w:tcW w:w="3100" w:type="dxa"/>
            <w:tcBorders>
              <w:top w:val="single" w:sz="24" w:space="0" w:color="auto"/>
              <w:bottom w:val="single" w:sz="18" w:space="0" w:color="auto"/>
              <w:right w:val="single" w:sz="24" w:space="0" w:color="auto"/>
            </w:tcBorders>
            <w:vAlign w:val="bottom"/>
          </w:tcPr>
          <w:p w14:paraId="2C6D4605" w14:textId="77777777" w:rsidR="00505294" w:rsidRPr="00200547" w:rsidRDefault="00505294">
            <w:pPr>
              <w:tabs>
                <w:tab w:val="left" w:pos="2070"/>
                <w:tab w:val="left" w:pos="3960"/>
                <w:tab w:val="left" w:pos="5850"/>
              </w:tabs>
              <w:spacing w:line="240" w:lineRule="auto"/>
              <w:jc w:val="center"/>
              <w:rPr>
                <w:rFonts w:ascii="Arial" w:eastAsia="SimHei" w:hAnsi="Arial" w:cs="Arial"/>
                <w:b/>
                <w:color w:val="auto"/>
                <w:sz w:val="20"/>
              </w:rPr>
            </w:pPr>
            <w:r w:rsidRPr="00200547">
              <w:rPr>
                <w:rFonts w:ascii="Arial" w:eastAsia="SimHei" w:hAnsi="Arial" w:cs="Arial"/>
                <w:b/>
                <w:color w:val="auto"/>
                <w:sz w:val="20"/>
              </w:rPr>
              <w:t>For use only by the Monetary Authority</w:t>
            </w:r>
          </w:p>
        </w:tc>
      </w:tr>
      <w:tr w:rsidR="007E3C4E" w:rsidRPr="00200547" w14:paraId="7AE05A5F" w14:textId="77777777">
        <w:trPr>
          <w:trHeight w:val="360"/>
        </w:trPr>
        <w:tc>
          <w:tcPr>
            <w:tcW w:w="3408" w:type="dxa"/>
            <w:tcBorders>
              <w:left w:val="single" w:sz="24" w:space="0" w:color="auto"/>
              <w:right w:val="single" w:sz="6" w:space="0" w:color="auto"/>
            </w:tcBorders>
          </w:tcPr>
          <w:p w14:paraId="3727C4AD"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left w:val="single" w:sz="6" w:space="0" w:color="auto"/>
              <w:right w:val="single" w:sz="6" w:space="0" w:color="auto"/>
            </w:tcBorders>
          </w:tcPr>
          <w:p w14:paraId="0BB0F9CB"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left w:val="single" w:sz="6" w:space="0" w:color="auto"/>
              <w:bottom w:val="single" w:sz="6" w:space="0" w:color="auto"/>
              <w:right w:val="single" w:sz="24" w:space="0" w:color="auto"/>
            </w:tcBorders>
          </w:tcPr>
          <w:p w14:paraId="1F6B852A"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54418194" w14:textId="77777777">
        <w:trPr>
          <w:trHeight w:val="360"/>
        </w:trPr>
        <w:tc>
          <w:tcPr>
            <w:tcW w:w="3408" w:type="dxa"/>
            <w:tcBorders>
              <w:top w:val="single" w:sz="6" w:space="0" w:color="auto"/>
              <w:left w:val="single" w:sz="24" w:space="0" w:color="auto"/>
              <w:bottom w:val="single" w:sz="6" w:space="0" w:color="auto"/>
              <w:right w:val="single" w:sz="6" w:space="0" w:color="auto"/>
            </w:tcBorders>
          </w:tcPr>
          <w:p w14:paraId="0BF7DE9C"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6" w:space="0" w:color="auto"/>
              <w:left w:val="single" w:sz="6" w:space="0" w:color="auto"/>
              <w:bottom w:val="single" w:sz="6" w:space="0" w:color="auto"/>
              <w:right w:val="single" w:sz="6" w:space="0" w:color="auto"/>
            </w:tcBorders>
          </w:tcPr>
          <w:p w14:paraId="3F23AFF5"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6" w:space="0" w:color="auto"/>
              <w:right w:val="single" w:sz="24" w:space="0" w:color="auto"/>
            </w:tcBorders>
          </w:tcPr>
          <w:p w14:paraId="57222710"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7849E0E5" w14:textId="77777777">
        <w:trPr>
          <w:trHeight w:val="360"/>
        </w:trPr>
        <w:tc>
          <w:tcPr>
            <w:tcW w:w="3408" w:type="dxa"/>
            <w:tcBorders>
              <w:top w:val="single" w:sz="6" w:space="0" w:color="auto"/>
              <w:left w:val="single" w:sz="24" w:space="0" w:color="auto"/>
              <w:bottom w:val="single" w:sz="6" w:space="0" w:color="auto"/>
              <w:right w:val="single" w:sz="6" w:space="0" w:color="auto"/>
            </w:tcBorders>
          </w:tcPr>
          <w:p w14:paraId="7014F2C3"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6" w:space="0" w:color="auto"/>
              <w:left w:val="single" w:sz="6" w:space="0" w:color="auto"/>
              <w:bottom w:val="single" w:sz="6" w:space="0" w:color="auto"/>
              <w:right w:val="single" w:sz="6" w:space="0" w:color="auto"/>
            </w:tcBorders>
          </w:tcPr>
          <w:p w14:paraId="6EB22789"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6" w:space="0" w:color="auto"/>
              <w:right w:val="single" w:sz="24" w:space="0" w:color="auto"/>
            </w:tcBorders>
          </w:tcPr>
          <w:p w14:paraId="43A3A6FC"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34D95BA5" w14:textId="77777777">
        <w:trPr>
          <w:trHeight w:val="360"/>
        </w:trPr>
        <w:tc>
          <w:tcPr>
            <w:tcW w:w="3408" w:type="dxa"/>
            <w:tcBorders>
              <w:top w:val="single" w:sz="6" w:space="0" w:color="auto"/>
              <w:left w:val="single" w:sz="24" w:space="0" w:color="auto"/>
              <w:right w:val="single" w:sz="6" w:space="0" w:color="auto"/>
            </w:tcBorders>
          </w:tcPr>
          <w:p w14:paraId="454598BE"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6" w:space="0" w:color="auto"/>
              <w:left w:val="single" w:sz="6" w:space="0" w:color="auto"/>
              <w:right w:val="single" w:sz="6" w:space="0" w:color="auto"/>
            </w:tcBorders>
          </w:tcPr>
          <w:p w14:paraId="1A018C10"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right w:val="single" w:sz="24" w:space="0" w:color="auto"/>
            </w:tcBorders>
          </w:tcPr>
          <w:p w14:paraId="48670FE3"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68EA2A4C" w14:textId="77777777">
        <w:trPr>
          <w:trHeight w:val="360"/>
        </w:trPr>
        <w:tc>
          <w:tcPr>
            <w:tcW w:w="3408" w:type="dxa"/>
            <w:tcBorders>
              <w:top w:val="single" w:sz="6" w:space="0" w:color="auto"/>
              <w:left w:val="single" w:sz="24" w:space="0" w:color="auto"/>
              <w:bottom w:val="single" w:sz="6" w:space="0" w:color="auto"/>
              <w:right w:val="single" w:sz="6" w:space="0" w:color="auto"/>
            </w:tcBorders>
          </w:tcPr>
          <w:p w14:paraId="119D9D2A"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6" w:space="0" w:color="auto"/>
              <w:left w:val="single" w:sz="6" w:space="0" w:color="auto"/>
              <w:bottom w:val="single" w:sz="6" w:space="0" w:color="auto"/>
              <w:right w:val="single" w:sz="6" w:space="0" w:color="auto"/>
            </w:tcBorders>
          </w:tcPr>
          <w:p w14:paraId="66A30E07"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6" w:space="0" w:color="auto"/>
              <w:right w:val="single" w:sz="24" w:space="0" w:color="auto"/>
            </w:tcBorders>
          </w:tcPr>
          <w:p w14:paraId="185DFE1C"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5F857673" w14:textId="77777777">
        <w:trPr>
          <w:trHeight w:val="360"/>
        </w:trPr>
        <w:tc>
          <w:tcPr>
            <w:tcW w:w="3408" w:type="dxa"/>
            <w:tcBorders>
              <w:left w:val="single" w:sz="24" w:space="0" w:color="auto"/>
              <w:bottom w:val="single" w:sz="6" w:space="0" w:color="auto"/>
              <w:right w:val="single" w:sz="6" w:space="0" w:color="auto"/>
            </w:tcBorders>
          </w:tcPr>
          <w:p w14:paraId="7A65934D"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left w:val="single" w:sz="6" w:space="0" w:color="auto"/>
              <w:bottom w:val="single" w:sz="4" w:space="0" w:color="auto"/>
              <w:right w:val="single" w:sz="6" w:space="0" w:color="auto"/>
            </w:tcBorders>
          </w:tcPr>
          <w:p w14:paraId="25D0EE2E"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left w:val="single" w:sz="6" w:space="0" w:color="auto"/>
              <w:bottom w:val="single" w:sz="6" w:space="0" w:color="auto"/>
              <w:right w:val="single" w:sz="24" w:space="0" w:color="auto"/>
            </w:tcBorders>
          </w:tcPr>
          <w:p w14:paraId="5B4E2244"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56B86271" w14:textId="77777777">
        <w:trPr>
          <w:trHeight w:val="360"/>
        </w:trPr>
        <w:tc>
          <w:tcPr>
            <w:tcW w:w="3408" w:type="dxa"/>
            <w:tcBorders>
              <w:top w:val="single" w:sz="6" w:space="0" w:color="auto"/>
              <w:left w:val="single" w:sz="24" w:space="0" w:color="auto"/>
              <w:bottom w:val="single" w:sz="6" w:space="0" w:color="auto"/>
              <w:right w:val="single" w:sz="6" w:space="0" w:color="auto"/>
            </w:tcBorders>
          </w:tcPr>
          <w:p w14:paraId="1E1DFB43"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4" w:space="0" w:color="auto"/>
              <w:left w:val="single" w:sz="4" w:space="0" w:color="auto"/>
              <w:bottom w:val="single" w:sz="4" w:space="0" w:color="auto"/>
              <w:right w:val="single" w:sz="4" w:space="0" w:color="auto"/>
            </w:tcBorders>
          </w:tcPr>
          <w:p w14:paraId="7F3CF8E0"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6" w:space="0" w:color="auto"/>
              <w:right w:val="single" w:sz="24" w:space="0" w:color="auto"/>
            </w:tcBorders>
          </w:tcPr>
          <w:p w14:paraId="6124AAC6"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1C7588C4" w14:textId="77777777">
        <w:trPr>
          <w:trHeight w:val="360"/>
        </w:trPr>
        <w:tc>
          <w:tcPr>
            <w:tcW w:w="3408" w:type="dxa"/>
            <w:tcBorders>
              <w:top w:val="single" w:sz="6" w:space="0" w:color="auto"/>
              <w:left w:val="single" w:sz="24" w:space="0" w:color="auto"/>
              <w:bottom w:val="single" w:sz="6" w:space="0" w:color="auto"/>
              <w:right w:val="single" w:sz="6" w:space="0" w:color="auto"/>
            </w:tcBorders>
          </w:tcPr>
          <w:p w14:paraId="7AA57432"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4" w:space="0" w:color="auto"/>
              <w:left w:val="single" w:sz="6" w:space="0" w:color="auto"/>
              <w:bottom w:val="single" w:sz="6" w:space="0" w:color="auto"/>
              <w:right w:val="single" w:sz="6" w:space="0" w:color="auto"/>
            </w:tcBorders>
          </w:tcPr>
          <w:p w14:paraId="386798A0"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6" w:space="0" w:color="auto"/>
              <w:right w:val="single" w:sz="24" w:space="0" w:color="auto"/>
            </w:tcBorders>
          </w:tcPr>
          <w:p w14:paraId="795712B4"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6C90F240" w14:textId="77777777">
        <w:trPr>
          <w:trHeight w:val="360"/>
        </w:trPr>
        <w:tc>
          <w:tcPr>
            <w:tcW w:w="3408" w:type="dxa"/>
            <w:tcBorders>
              <w:top w:val="single" w:sz="6" w:space="0" w:color="auto"/>
              <w:left w:val="single" w:sz="24" w:space="0" w:color="auto"/>
              <w:bottom w:val="single" w:sz="24" w:space="0" w:color="auto"/>
              <w:right w:val="single" w:sz="6" w:space="0" w:color="auto"/>
            </w:tcBorders>
          </w:tcPr>
          <w:p w14:paraId="640C86F7"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6" w:space="0" w:color="auto"/>
              <w:left w:val="single" w:sz="6" w:space="0" w:color="auto"/>
              <w:bottom w:val="single" w:sz="24" w:space="0" w:color="auto"/>
              <w:right w:val="single" w:sz="6" w:space="0" w:color="auto"/>
            </w:tcBorders>
          </w:tcPr>
          <w:p w14:paraId="4FA2A1AC"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24" w:space="0" w:color="auto"/>
              <w:right w:val="single" w:sz="24" w:space="0" w:color="auto"/>
            </w:tcBorders>
          </w:tcPr>
          <w:p w14:paraId="2D212B90"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222320F6" w14:textId="77777777">
        <w:trPr>
          <w:trHeight w:val="174"/>
        </w:trPr>
        <w:tc>
          <w:tcPr>
            <w:tcW w:w="3408" w:type="dxa"/>
            <w:tcBorders>
              <w:top w:val="single" w:sz="24" w:space="0" w:color="auto"/>
            </w:tcBorders>
          </w:tcPr>
          <w:p w14:paraId="0FAA7145" w14:textId="77777777" w:rsidR="00505294" w:rsidRPr="00200547" w:rsidRDefault="00505294">
            <w:pPr>
              <w:tabs>
                <w:tab w:val="left" w:pos="2070"/>
                <w:tab w:val="left" w:pos="3960"/>
                <w:tab w:val="left" w:pos="5850"/>
              </w:tabs>
              <w:spacing w:line="240" w:lineRule="auto"/>
              <w:rPr>
                <w:rFonts w:ascii="Arial" w:hAnsi="Arial" w:cs="Arial"/>
                <w:b/>
                <w:color w:val="auto"/>
                <w:sz w:val="4"/>
                <w:szCs w:val="4"/>
              </w:rPr>
            </w:pPr>
          </w:p>
        </w:tc>
        <w:tc>
          <w:tcPr>
            <w:tcW w:w="2792" w:type="dxa"/>
            <w:tcBorders>
              <w:top w:val="single" w:sz="24" w:space="0" w:color="auto"/>
              <w:bottom w:val="single" w:sz="4" w:space="0" w:color="auto"/>
            </w:tcBorders>
          </w:tcPr>
          <w:p w14:paraId="18C82CD3" w14:textId="77777777" w:rsidR="00505294" w:rsidRPr="00200547" w:rsidRDefault="00505294">
            <w:pPr>
              <w:tabs>
                <w:tab w:val="left" w:pos="2070"/>
                <w:tab w:val="left" w:pos="3960"/>
                <w:tab w:val="left" w:pos="5850"/>
              </w:tabs>
              <w:spacing w:line="240" w:lineRule="auto"/>
              <w:rPr>
                <w:rFonts w:ascii="Arial" w:hAnsi="Arial" w:cs="Arial"/>
                <w:b/>
                <w:color w:val="auto"/>
                <w:sz w:val="4"/>
                <w:szCs w:val="4"/>
              </w:rPr>
            </w:pPr>
          </w:p>
        </w:tc>
        <w:tc>
          <w:tcPr>
            <w:tcW w:w="3100" w:type="dxa"/>
            <w:tcBorders>
              <w:top w:val="single" w:sz="24" w:space="0" w:color="auto"/>
              <w:bottom w:val="single" w:sz="4" w:space="0" w:color="auto"/>
            </w:tcBorders>
          </w:tcPr>
          <w:p w14:paraId="526C5C70" w14:textId="77777777" w:rsidR="00505294" w:rsidRPr="00200547" w:rsidRDefault="00505294">
            <w:pPr>
              <w:tabs>
                <w:tab w:val="left" w:pos="2070"/>
                <w:tab w:val="left" w:pos="3960"/>
                <w:tab w:val="left" w:pos="5850"/>
              </w:tabs>
              <w:spacing w:line="240" w:lineRule="auto"/>
              <w:rPr>
                <w:rFonts w:ascii="Arial" w:hAnsi="Arial" w:cs="Arial"/>
                <w:b/>
                <w:color w:val="auto"/>
                <w:sz w:val="4"/>
                <w:szCs w:val="4"/>
              </w:rPr>
            </w:pPr>
          </w:p>
        </w:tc>
      </w:tr>
      <w:tr w:rsidR="00505294" w:rsidRPr="00200547" w14:paraId="34BA70D6" w14:textId="77777777">
        <w:trPr>
          <w:trHeight w:val="360"/>
        </w:trPr>
        <w:tc>
          <w:tcPr>
            <w:tcW w:w="3408" w:type="dxa"/>
            <w:tcBorders>
              <w:right w:val="single" w:sz="4" w:space="0" w:color="auto"/>
            </w:tcBorders>
          </w:tcPr>
          <w:p w14:paraId="38B442E7" w14:textId="77777777" w:rsidR="00505294" w:rsidRPr="00200547" w:rsidRDefault="00505294">
            <w:pPr>
              <w:tabs>
                <w:tab w:val="left" w:pos="2070"/>
                <w:tab w:val="left" w:pos="3960"/>
                <w:tab w:val="left" w:pos="5850"/>
              </w:tabs>
              <w:spacing w:line="240" w:lineRule="auto"/>
              <w:jc w:val="right"/>
              <w:rPr>
                <w:rFonts w:ascii="Arial" w:hAnsi="Arial" w:cs="Arial"/>
                <w:color w:val="auto"/>
                <w:sz w:val="20"/>
              </w:rPr>
            </w:pPr>
            <w:r w:rsidRPr="00200547">
              <w:rPr>
                <w:rFonts w:ascii="Arial" w:hAnsi="Arial" w:cs="Arial"/>
                <w:color w:val="auto"/>
                <w:sz w:val="20"/>
              </w:rPr>
              <w:t>TOTAL</w:t>
            </w:r>
          </w:p>
        </w:tc>
        <w:tc>
          <w:tcPr>
            <w:tcW w:w="2792" w:type="dxa"/>
            <w:tcBorders>
              <w:top w:val="single" w:sz="4" w:space="0" w:color="auto"/>
              <w:left w:val="single" w:sz="4" w:space="0" w:color="auto"/>
              <w:bottom w:val="single" w:sz="4" w:space="0" w:color="auto"/>
            </w:tcBorders>
          </w:tcPr>
          <w:p w14:paraId="767760F8" w14:textId="77777777" w:rsidR="00505294" w:rsidRPr="00200547" w:rsidRDefault="00505294">
            <w:pPr>
              <w:tabs>
                <w:tab w:val="left" w:pos="2070"/>
                <w:tab w:val="left" w:pos="3960"/>
                <w:tab w:val="left" w:pos="5850"/>
              </w:tabs>
              <w:spacing w:line="240" w:lineRule="auto"/>
              <w:rPr>
                <w:rFonts w:ascii="Arial" w:eastAsia="SimHei" w:hAnsi="Arial" w:cs="Arial"/>
                <w:color w:val="auto"/>
                <w:sz w:val="20"/>
              </w:rPr>
            </w:pPr>
            <w:r w:rsidRPr="00200547">
              <w:rPr>
                <w:rFonts w:ascii="Arial" w:eastAsia="SimHei" w:hAnsi="Arial" w:cs="Arial"/>
                <w:color w:val="auto"/>
                <w:sz w:val="20"/>
              </w:rPr>
              <w:t>RMB</w:t>
            </w:r>
          </w:p>
        </w:tc>
        <w:tc>
          <w:tcPr>
            <w:tcW w:w="3100" w:type="dxa"/>
            <w:tcBorders>
              <w:top w:val="single" w:sz="4" w:space="0" w:color="auto"/>
              <w:bottom w:val="single" w:sz="4" w:space="0" w:color="auto"/>
              <w:right w:val="single" w:sz="4" w:space="0" w:color="auto"/>
            </w:tcBorders>
          </w:tcPr>
          <w:p w14:paraId="5CD00E1E" w14:textId="77777777" w:rsidR="00505294" w:rsidRPr="00200547" w:rsidRDefault="00505294">
            <w:pPr>
              <w:tabs>
                <w:tab w:val="left" w:pos="2070"/>
                <w:tab w:val="left" w:pos="3960"/>
                <w:tab w:val="left" w:pos="5850"/>
              </w:tabs>
              <w:spacing w:line="240" w:lineRule="auto"/>
              <w:rPr>
                <w:rFonts w:ascii="Arial" w:eastAsia="SimHei" w:hAnsi="Arial" w:cs="Arial"/>
                <w:b/>
                <w:color w:val="auto"/>
                <w:sz w:val="20"/>
              </w:rPr>
            </w:pPr>
          </w:p>
        </w:tc>
      </w:tr>
    </w:tbl>
    <w:p w14:paraId="6F8796B5" w14:textId="77777777" w:rsidR="00505294" w:rsidRPr="00200547" w:rsidRDefault="00505294">
      <w:pPr>
        <w:tabs>
          <w:tab w:val="left" w:pos="1080"/>
          <w:tab w:val="left" w:pos="3960"/>
          <w:tab w:val="left" w:pos="5850"/>
        </w:tabs>
        <w:spacing w:line="240" w:lineRule="auto"/>
        <w:rPr>
          <w:rFonts w:ascii="Arial" w:eastAsia="SimHei" w:hAnsi="Arial" w:cs="Arial"/>
          <w:b/>
          <w:color w:val="auto"/>
          <w:sz w:val="20"/>
        </w:rPr>
      </w:pPr>
    </w:p>
    <w:p w14:paraId="3FAD9D35" w14:textId="77777777" w:rsidR="00200547" w:rsidRPr="00200547" w:rsidRDefault="00505294" w:rsidP="00200547">
      <w:pPr>
        <w:tabs>
          <w:tab w:val="left" w:pos="2070"/>
          <w:tab w:val="left" w:pos="6840"/>
          <w:tab w:val="left" w:pos="7020"/>
          <w:tab w:val="left" w:pos="9990"/>
        </w:tabs>
        <w:spacing w:line="240" w:lineRule="auto"/>
        <w:ind w:right="-151"/>
        <w:rPr>
          <w:rFonts w:ascii="Arial" w:hAnsi="Arial" w:cs="Arial"/>
          <w:color w:val="auto"/>
          <w:sz w:val="20"/>
        </w:rPr>
      </w:pPr>
      <w:r w:rsidRPr="00200547">
        <w:rPr>
          <w:rFonts w:ascii="Arial" w:hAnsi="Arial" w:cs="Arial"/>
          <w:color w:val="auto"/>
          <w:sz w:val="20"/>
        </w:rPr>
        <w:t xml:space="preserve">We undertake to arrange sufficient funds to our settlement account before 11:30 a.m. on the </w:t>
      </w:r>
      <w:r w:rsidR="00200547" w:rsidRPr="00200547">
        <w:rPr>
          <w:rFonts w:ascii="Arial" w:hAnsi="Arial" w:cs="Arial"/>
          <w:color w:val="auto"/>
          <w:sz w:val="20"/>
        </w:rPr>
        <w:t xml:space="preserve">Further </w:t>
      </w:r>
      <w:r w:rsidRPr="00200547">
        <w:rPr>
          <w:rFonts w:ascii="Arial" w:hAnsi="Arial" w:cs="Arial"/>
          <w:color w:val="auto"/>
          <w:sz w:val="20"/>
        </w:rPr>
        <w:t xml:space="preserve">Issue Date and also authorize you to debit from our settlement account (a/c no. ___________________) the amount payable </w:t>
      </w:r>
      <w:r w:rsidR="00200547" w:rsidRPr="00200547">
        <w:rPr>
          <w:rFonts w:ascii="Arial" w:hAnsi="Arial" w:cs="Arial"/>
          <w:color w:val="auto"/>
          <w:sz w:val="20"/>
        </w:rPr>
        <w:t>(including an amount equal to the interest accrued from (and including) the Original Issue</w:t>
      </w:r>
    </w:p>
    <w:p w14:paraId="0274D30C" w14:textId="77777777" w:rsidR="00505294" w:rsidRPr="00200547" w:rsidRDefault="00200547" w:rsidP="00200547">
      <w:pPr>
        <w:tabs>
          <w:tab w:val="left" w:pos="2070"/>
          <w:tab w:val="left" w:pos="6840"/>
          <w:tab w:val="left" w:pos="7020"/>
          <w:tab w:val="left" w:pos="9990"/>
        </w:tabs>
        <w:spacing w:line="240" w:lineRule="auto"/>
        <w:ind w:right="-151"/>
        <w:rPr>
          <w:rFonts w:ascii="Arial" w:hAnsi="Arial" w:cs="Arial"/>
          <w:color w:val="auto"/>
          <w:sz w:val="20"/>
        </w:rPr>
      </w:pPr>
      <w:r w:rsidRPr="00200547">
        <w:rPr>
          <w:rFonts w:ascii="Arial" w:hAnsi="Arial" w:cs="Arial"/>
          <w:color w:val="auto"/>
          <w:sz w:val="20"/>
        </w:rPr>
        <w:t xml:space="preserve">Date to (but excluding) the Further Issue Date) </w:t>
      </w:r>
      <w:r w:rsidR="00505294" w:rsidRPr="00200547">
        <w:rPr>
          <w:rFonts w:ascii="Arial" w:hAnsi="Arial" w:cs="Arial"/>
          <w:color w:val="auto"/>
          <w:sz w:val="20"/>
        </w:rPr>
        <w:t xml:space="preserve">for any CMU Instrument that are allotted to us under any of the above bids. </w:t>
      </w:r>
    </w:p>
    <w:p w14:paraId="56D13033" w14:textId="77777777" w:rsidR="00505294" w:rsidRPr="00200547" w:rsidRDefault="00505294">
      <w:pPr>
        <w:tabs>
          <w:tab w:val="left" w:pos="2070"/>
          <w:tab w:val="left" w:pos="6840"/>
          <w:tab w:val="left" w:pos="7020"/>
          <w:tab w:val="left" w:pos="9990"/>
        </w:tabs>
        <w:spacing w:line="240" w:lineRule="auto"/>
        <w:ind w:right="-151"/>
        <w:rPr>
          <w:rFonts w:ascii="Arial" w:hAnsi="Arial" w:cs="Arial"/>
          <w:color w:val="auto"/>
          <w:sz w:val="20"/>
        </w:rPr>
      </w:pPr>
    </w:p>
    <w:p w14:paraId="32330140" w14:textId="77777777" w:rsidR="00505294" w:rsidRPr="00200547" w:rsidRDefault="00505294">
      <w:pPr>
        <w:tabs>
          <w:tab w:val="left" w:pos="2070"/>
          <w:tab w:val="left" w:pos="6840"/>
          <w:tab w:val="left" w:pos="7020"/>
          <w:tab w:val="left" w:pos="9990"/>
        </w:tabs>
        <w:spacing w:line="240" w:lineRule="auto"/>
        <w:ind w:right="-151"/>
        <w:rPr>
          <w:rFonts w:ascii="Arial" w:hAnsi="Arial" w:cs="Arial"/>
          <w:color w:val="auto"/>
          <w:sz w:val="20"/>
          <w:lang w:eastAsia="zh-CN"/>
        </w:rPr>
      </w:pPr>
      <w:r w:rsidRPr="00200547">
        <w:rPr>
          <w:rFonts w:ascii="Arial" w:hAnsi="Arial" w:cs="Arial"/>
          <w:color w:val="auto"/>
          <w:sz w:val="20"/>
        </w:rPr>
        <w:t>Person to contact in case of query: ______________ (Tel:____________)</w:t>
      </w:r>
    </w:p>
    <w:p w14:paraId="69C3D43B" w14:textId="77777777" w:rsidR="00505294" w:rsidRPr="00200547" w:rsidRDefault="008C794D">
      <w:pPr>
        <w:tabs>
          <w:tab w:val="left" w:pos="2070"/>
          <w:tab w:val="left" w:pos="2520"/>
          <w:tab w:val="left" w:pos="2880"/>
          <w:tab w:val="left" w:pos="5220"/>
          <w:tab w:val="left" w:pos="5400"/>
          <w:tab w:val="left" w:pos="5850"/>
          <w:tab w:val="left" w:pos="7110"/>
        </w:tabs>
        <w:spacing w:line="240" w:lineRule="auto"/>
        <w:rPr>
          <w:rFonts w:ascii="Arial" w:hAnsi="Arial" w:cs="Arial"/>
          <w:color w:val="auto"/>
          <w:sz w:val="20"/>
          <w:u w:val="single"/>
        </w:rPr>
      </w:pPr>
      <w:r w:rsidRPr="00200547">
        <w:rPr>
          <w:rFonts w:ascii="Arial" w:hAnsi="Arial" w:cs="Arial"/>
          <w:noProof/>
          <w:color w:val="auto"/>
          <w:sz w:val="20"/>
          <w:lang w:val="en-GB" w:eastAsia="zh-CN"/>
        </w:rPr>
        <mc:AlternateContent>
          <mc:Choice Requires="wps">
            <w:drawing>
              <wp:anchor distT="0" distB="0" distL="114300" distR="114300" simplePos="0" relativeHeight="251658240" behindDoc="0" locked="0" layoutInCell="0" allowOverlap="1" wp14:anchorId="3AEF5925" wp14:editId="0B3BA36E">
                <wp:simplePos x="0" y="0"/>
                <wp:positionH relativeFrom="column">
                  <wp:posOffset>4892040</wp:posOffset>
                </wp:positionH>
                <wp:positionV relativeFrom="paragraph">
                  <wp:posOffset>0</wp:posOffset>
                </wp:positionV>
                <wp:extent cx="1189355" cy="91503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9150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EAB5E" w14:textId="77777777" w:rsidR="004034EA" w:rsidRDefault="004034EA">
                            <w:pPr>
                              <w:jc w:val="center"/>
                              <w:rPr>
                                <w:rFonts w:ascii="Arial" w:hAnsi="Arial" w:cs="Arial"/>
                                <w:sz w:val="18"/>
                              </w:rPr>
                            </w:pPr>
                            <w:r>
                              <w:rPr>
                                <w:rFonts w:ascii="Arial" w:hAnsi="Arial" w:cs="Arial"/>
                                <w:sz w:val="18"/>
                              </w:rPr>
                              <w:t>For the MA use only</w:t>
                            </w:r>
                          </w:p>
                          <w:p w14:paraId="59C0E613" w14:textId="77777777" w:rsidR="004034EA" w:rsidRDefault="004034EA">
                            <w:pPr>
                              <w:jc w:val="center"/>
                              <w:rPr>
                                <w:rFonts w:ascii="Arial" w:hAnsi="Arial" w:cs="Arial"/>
                                <w:sz w:val="18"/>
                              </w:rPr>
                            </w:pPr>
                            <w:r>
                              <w:rPr>
                                <w:rFonts w:ascii="Arial" w:hAnsi="Arial" w:cs="Arial"/>
                                <w:sz w:val="18"/>
                              </w:rPr>
                              <w:t>Signature(s) / Test No.</w:t>
                            </w:r>
                          </w:p>
                          <w:p w14:paraId="58475831" w14:textId="77777777" w:rsidR="004034EA" w:rsidRDefault="004034EA">
                            <w:pPr>
                              <w:jc w:val="center"/>
                              <w:rPr>
                                <w:rFonts w:ascii="Arial" w:hAnsi="Arial" w:cs="Arial"/>
                              </w:rPr>
                            </w:pPr>
                            <w:r>
                              <w:rPr>
                                <w:rFonts w:ascii="Arial" w:hAnsi="Arial" w:cs="Arial"/>
                                <w:sz w:val="18"/>
                              </w:rPr>
                              <w:t>Verified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5925" id="Rectangle 5" o:spid="_x0000_s1027" style="position:absolute;left:0;text-align:left;margin-left:385.2pt;margin-top:0;width:93.6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" o:allowincell="f" filled="f">
                <v:textbox inset="0,0,0,0">
                  <w:txbxContent>
                    <w:p w14:paraId="1CBEAB5E" w14:textId="77777777" w:rsidR="004034EA" w:rsidRDefault="004034EA">
                      <w:pPr>
                        <w:jc w:val="center"/>
                        <w:rPr>
                          <w:rFonts w:ascii="Arial" w:hAnsi="Arial" w:cs="Arial"/>
                          <w:sz w:val="18"/>
                        </w:rPr>
                      </w:pPr>
                      <w:r>
                        <w:rPr>
                          <w:rFonts w:ascii="Arial" w:hAnsi="Arial" w:cs="Arial"/>
                          <w:sz w:val="18"/>
                        </w:rPr>
                        <w:t>For the MA use only</w:t>
                      </w:r>
                    </w:p>
                    <w:p w14:paraId="59C0E613" w14:textId="77777777" w:rsidR="004034EA" w:rsidRDefault="004034EA">
                      <w:pPr>
                        <w:jc w:val="center"/>
                        <w:rPr>
                          <w:rFonts w:ascii="Arial" w:hAnsi="Arial" w:cs="Arial"/>
                          <w:sz w:val="18"/>
                        </w:rPr>
                      </w:pPr>
                      <w:r>
                        <w:rPr>
                          <w:rFonts w:ascii="Arial" w:hAnsi="Arial" w:cs="Arial"/>
                          <w:sz w:val="18"/>
                        </w:rPr>
                        <w:t>Signature(s) / Test No.</w:t>
                      </w:r>
                    </w:p>
                    <w:p w14:paraId="58475831" w14:textId="77777777" w:rsidR="004034EA" w:rsidRDefault="004034EA">
                      <w:pPr>
                        <w:jc w:val="center"/>
                        <w:rPr>
                          <w:rFonts w:ascii="Arial" w:hAnsi="Arial" w:cs="Arial"/>
                        </w:rPr>
                      </w:pPr>
                      <w:r>
                        <w:rPr>
                          <w:rFonts w:ascii="Arial" w:hAnsi="Arial" w:cs="Arial"/>
                          <w:sz w:val="18"/>
                        </w:rPr>
                        <w:t>Verified by:</w:t>
                      </w:r>
                    </w:p>
                  </w:txbxContent>
                </v:textbox>
              </v:rect>
            </w:pict>
          </mc:Fallback>
        </mc:AlternateContent>
      </w:r>
    </w:p>
    <w:p w14:paraId="18B1CF6D" w14:textId="77777777" w:rsidR="00505294" w:rsidRPr="00200547" w:rsidRDefault="00505294">
      <w:pPr>
        <w:tabs>
          <w:tab w:val="left" w:pos="2070"/>
          <w:tab w:val="left" w:pos="2520"/>
          <w:tab w:val="left" w:pos="3420"/>
          <w:tab w:val="left" w:pos="5220"/>
          <w:tab w:val="left" w:pos="5940"/>
          <w:tab w:val="left" w:pos="7380"/>
        </w:tabs>
        <w:spacing w:line="240" w:lineRule="auto"/>
        <w:rPr>
          <w:rFonts w:ascii="Arial" w:hAnsi="Arial" w:cs="Arial"/>
          <w:color w:val="auto"/>
          <w:sz w:val="20"/>
          <w:u w:val="single"/>
        </w:rPr>
      </w:pPr>
    </w:p>
    <w:p w14:paraId="786F42F7" w14:textId="77777777" w:rsidR="00505294" w:rsidRPr="00200547" w:rsidRDefault="00505294">
      <w:pPr>
        <w:tabs>
          <w:tab w:val="left" w:pos="2070"/>
          <w:tab w:val="left" w:pos="2520"/>
          <w:tab w:val="left" w:pos="3420"/>
          <w:tab w:val="left" w:pos="5220"/>
          <w:tab w:val="left" w:pos="5940"/>
          <w:tab w:val="left" w:pos="7380"/>
        </w:tabs>
        <w:spacing w:line="240" w:lineRule="auto"/>
        <w:rPr>
          <w:rFonts w:ascii="Arial" w:eastAsia="SimHei" w:hAnsi="Arial" w:cs="Arial"/>
          <w:b/>
          <w:color w:val="auto"/>
          <w:sz w:val="20"/>
          <w:u w:val="single"/>
        </w:rPr>
      </w:pPr>
    </w:p>
    <w:tbl>
      <w:tblPr>
        <w:tblW w:w="0" w:type="auto"/>
        <w:tblInd w:w="1080"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28"/>
      </w:tblGrid>
      <w:tr w:rsidR="007E3C4E" w:rsidRPr="00200547" w14:paraId="56FFCCE2" w14:textId="77777777">
        <w:tc>
          <w:tcPr>
            <w:tcW w:w="6028" w:type="dxa"/>
            <w:tcBorders>
              <w:bottom w:val="single" w:sz="4" w:space="0" w:color="auto"/>
            </w:tcBorders>
          </w:tcPr>
          <w:p w14:paraId="5F68EAAD" w14:textId="77777777" w:rsidR="00505294" w:rsidRPr="00200547" w:rsidRDefault="00505294">
            <w:pPr>
              <w:spacing w:line="240" w:lineRule="auto"/>
              <w:rPr>
                <w:rFonts w:ascii="Arial" w:hAnsi="Arial" w:cs="Arial"/>
                <w:color w:val="auto"/>
              </w:rPr>
            </w:pPr>
          </w:p>
        </w:tc>
      </w:tr>
      <w:tr w:rsidR="007E3C4E" w:rsidRPr="00200547" w14:paraId="3FB73265" w14:textId="77777777">
        <w:tc>
          <w:tcPr>
            <w:tcW w:w="6028" w:type="dxa"/>
            <w:tcBorders>
              <w:top w:val="single" w:sz="4" w:space="0" w:color="auto"/>
              <w:bottom w:val="nil"/>
            </w:tcBorders>
          </w:tcPr>
          <w:p w14:paraId="2E63D25E" w14:textId="77777777" w:rsidR="00505294" w:rsidRPr="00200547" w:rsidRDefault="00505294">
            <w:pPr>
              <w:spacing w:line="240" w:lineRule="auto"/>
              <w:jc w:val="center"/>
              <w:rPr>
                <w:rFonts w:ascii="Arial" w:hAnsi="Arial" w:cs="Arial"/>
                <w:color w:val="auto"/>
              </w:rPr>
            </w:pPr>
            <w:r w:rsidRPr="00200547">
              <w:rPr>
                <w:rFonts w:ascii="Arial" w:hAnsi="Arial" w:cs="Arial"/>
                <w:color w:val="auto"/>
              </w:rPr>
              <w:t xml:space="preserve">Authorized Signature(s) or Test Number </w:t>
            </w:r>
          </w:p>
          <w:p w14:paraId="468A38F0" w14:textId="77777777" w:rsidR="00505294" w:rsidRPr="00200547" w:rsidRDefault="00505294">
            <w:pPr>
              <w:spacing w:line="240" w:lineRule="auto"/>
              <w:jc w:val="center"/>
              <w:rPr>
                <w:rFonts w:ascii="Arial" w:hAnsi="Arial" w:cs="Arial"/>
                <w:color w:val="auto"/>
              </w:rPr>
            </w:pPr>
          </w:p>
        </w:tc>
      </w:tr>
    </w:tbl>
    <w:p w14:paraId="7215130C" w14:textId="77777777" w:rsidR="00505294" w:rsidRPr="00200547" w:rsidRDefault="00505294">
      <w:pPr>
        <w:tabs>
          <w:tab w:val="left" w:pos="2070"/>
          <w:tab w:val="left" w:pos="2520"/>
          <w:tab w:val="left" w:pos="3420"/>
          <w:tab w:val="left" w:pos="5220"/>
          <w:tab w:val="left" w:pos="5940"/>
          <w:tab w:val="left" w:pos="7380"/>
        </w:tabs>
        <w:spacing w:line="240" w:lineRule="auto"/>
        <w:rPr>
          <w:rFonts w:ascii="Arial" w:eastAsia="SimHei" w:hAnsi="Arial" w:cs="Arial"/>
          <w:b/>
          <w:color w:val="auto"/>
          <w:sz w:val="20"/>
          <w:u w:val="single"/>
        </w:rPr>
      </w:pPr>
      <w:r w:rsidRPr="00200547">
        <w:rPr>
          <w:rFonts w:ascii="Arial" w:eastAsia="SimHei" w:hAnsi="Arial" w:cs="Arial"/>
          <w:b/>
          <w:color w:val="auto"/>
          <w:sz w:val="20"/>
          <w:u w:val="single"/>
        </w:rPr>
        <w:t>_________________________________________________________________________________</w:t>
      </w:r>
    </w:p>
    <w:p w14:paraId="2D88A2B4" w14:textId="77777777" w:rsidR="00505294" w:rsidRPr="00200547" w:rsidRDefault="00505294">
      <w:pPr>
        <w:tabs>
          <w:tab w:val="left" w:pos="2070"/>
          <w:tab w:val="left" w:pos="2520"/>
          <w:tab w:val="left" w:pos="3420"/>
          <w:tab w:val="left" w:pos="5220"/>
          <w:tab w:val="left" w:pos="5940"/>
          <w:tab w:val="left" w:pos="7380"/>
        </w:tabs>
        <w:spacing w:line="240" w:lineRule="auto"/>
        <w:rPr>
          <w:rFonts w:ascii="Arial" w:hAnsi="Arial" w:cs="Arial"/>
          <w:color w:val="auto"/>
          <w:sz w:val="20"/>
          <w:lang w:eastAsia="zh-CN"/>
        </w:rPr>
      </w:pPr>
      <w:r w:rsidRPr="00200547">
        <w:rPr>
          <w:rFonts w:ascii="Arial" w:hAnsi="Arial" w:cs="Arial"/>
          <w:color w:val="auto"/>
          <w:sz w:val="20"/>
        </w:rPr>
        <w:t>Remark: Please quote original CMU Member TRN and a new CMU Member TRN for cancellation.</w:t>
      </w:r>
    </w:p>
    <w:p w14:paraId="6DD6AA3B" w14:textId="77777777" w:rsidR="00505294" w:rsidRPr="00200547" w:rsidRDefault="00505294">
      <w:pPr>
        <w:tabs>
          <w:tab w:val="left" w:pos="1440"/>
          <w:tab w:val="left" w:pos="3420"/>
          <w:tab w:val="left" w:pos="5220"/>
          <w:tab w:val="left" w:pos="5940"/>
          <w:tab w:val="left" w:pos="7380"/>
        </w:tabs>
        <w:spacing w:line="240" w:lineRule="auto"/>
        <w:ind w:left="720" w:right="-691" w:hanging="720"/>
        <w:jc w:val="left"/>
        <w:rPr>
          <w:rFonts w:ascii="Arial" w:hAnsi="Arial" w:cs="Arial"/>
          <w:color w:val="auto"/>
        </w:rPr>
      </w:pPr>
    </w:p>
    <w:p w14:paraId="5F4D8747" w14:textId="77777777" w:rsidR="00505294" w:rsidRPr="00200547" w:rsidRDefault="00505294">
      <w:pPr>
        <w:spacing w:line="240" w:lineRule="auto"/>
        <w:ind w:left="360" w:right="-691" w:hanging="360"/>
        <w:jc w:val="left"/>
        <w:rPr>
          <w:rFonts w:ascii="Arial" w:hAnsi="Arial" w:cs="Arial"/>
          <w:color w:val="auto"/>
          <w:vertAlign w:val="superscript"/>
        </w:rPr>
      </w:pPr>
      <w:r w:rsidRPr="00200547">
        <w:rPr>
          <w:rFonts w:ascii="Arial" w:hAnsi="Arial" w:cs="Arial"/>
          <w:color w:val="auto"/>
          <w:vertAlign w:val="superscript"/>
        </w:rPr>
        <w:t>*</w:t>
      </w:r>
      <w:r w:rsidRPr="00200547">
        <w:rPr>
          <w:rFonts w:ascii="Arial" w:hAnsi="Arial" w:cs="Arial"/>
          <w:color w:val="auto"/>
          <w:vertAlign w:val="superscript"/>
        </w:rPr>
        <w:tab/>
        <w:t>Cancel whole tender application only.</w:t>
      </w:r>
    </w:p>
    <w:p w14:paraId="3C4B93B9" w14:textId="77777777" w:rsidR="00505294" w:rsidRPr="00200547" w:rsidRDefault="00505294">
      <w:pPr>
        <w:spacing w:line="240" w:lineRule="auto"/>
        <w:ind w:left="360" w:right="-691" w:hanging="360"/>
        <w:jc w:val="left"/>
        <w:rPr>
          <w:rFonts w:ascii="Arial" w:hAnsi="Arial" w:cs="Arial"/>
          <w:color w:val="auto"/>
          <w:vertAlign w:val="superscript"/>
        </w:rPr>
      </w:pPr>
      <w:r w:rsidRPr="00200547">
        <w:rPr>
          <w:rFonts w:ascii="Arial" w:hAnsi="Arial" w:cs="Arial"/>
          <w:color w:val="auto"/>
          <w:vertAlign w:val="superscript"/>
        </w:rPr>
        <w:t>#</w:t>
      </w:r>
      <w:r w:rsidRPr="00200547">
        <w:rPr>
          <w:rFonts w:ascii="Arial" w:hAnsi="Arial" w:cs="Arial"/>
          <w:color w:val="auto"/>
        </w:rPr>
        <w:tab/>
      </w:r>
      <w:r w:rsidRPr="00200547">
        <w:rPr>
          <w:rFonts w:ascii="Arial" w:hAnsi="Arial" w:cs="Arial"/>
          <w:color w:val="auto"/>
          <w:vertAlign w:val="superscript"/>
        </w:rPr>
        <w:t>Please delete as inappropriate.</w:t>
      </w:r>
    </w:p>
    <w:p w14:paraId="3A6EED62" w14:textId="77777777" w:rsidR="00505294" w:rsidRPr="00200547" w:rsidRDefault="00505294">
      <w:pPr>
        <w:spacing w:line="240" w:lineRule="auto"/>
        <w:ind w:left="360" w:right="-691" w:hanging="360"/>
        <w:jc w:val="left"/>
        <w:rPr>
          <w:rFonts w:ascii="Arial" w:hAnsi="Arial" w:cs="Arial"/>
          <w:color w:val="auto"/>
        </w:rPr>
        <w:sectPr w:rsidR="00505294" w:rsidRPr="00200547" w:rsidSect="008F68E3">
          <w:pgSz w:w="11906" w:h="16838" w:code="9"/>
          <w:pgMar w:top="288" w:right="1411" w:bottom="432" w:left="1411" w:header="144" w:footer="731" w:gutter="0"/>
          <w:cols w:space="720"/>
          <w:noEndnote/>
          <w:docGrid w:linePitch="299"/>
        </w:sectPr>
      </w:pPr>
    </w:p>
    <w:tbl>
      <w:tblPr>
        <w:tblW w:w="0" w:type="auto"/>
        <w:tblLayout w:type="fixed"/>
        <w:tblLook w:val="01E0" w:firstRow="1" w:lastRow="1" w:firstColumn="1" w:lastColumn="1" w:noHBand="0" w:noVBand="0"/>
      </w:tblPr>
      <w:tblGrid>
        <w:gridCol w:w="4621"/>
        <w:gridCol w:w="4621"/>
      </w:tblGrid>
      <w:tr w:rsidR="007E3C4E" w:rsidRPr="00200547" w14:paraId="28348B92" w14:textId="77777777" w:rsidTr="00505294">
        <w:tc>
          <w:tcPr>
            <w:tcW w:w="9242" w:type="dxa"/>
            <w:gridSpan w:val="2"/>
            <w:shd w:val="clear" w:color="auto" w:fill="auto"/>
          </w:tcPr>
          <w:p w14:paraId="4C95A5E3" w14:textId="77777777" w:rsidR="00505294" w:rsidRPr="00200547" w:rsidRDefault="00505294" w:rsidP="00505294">
            <w:pPr>
              <w:spacing w:line="240" w:lineRule="auto"/>
              <w:ind w:right="-691"/>
              <w:jc w:val="center"/>
              <w:rPr>
                <w:rFonts w:ascii="Arial" w:hAnsi="Arial" w:cs="Arial"/>
                <w:b/>
                <w:color w:val="auto"/>
                <w:sz w:val="24"/>
                <w:szCs w:val="24"/>
              </w:rPr>
            </w:pPr>
            <w:r w:rsidRPr="00200547">
              <w:rPr>
                <w:rFonts w:ascii="Arial" w:eastAsia="SimHei" w:hAnsi="Arial" w:cs="Arial"/>
                <w:b/>
                <w:color w:val="auto"/>
                <w:sz w:val="24"/>
                <w:szCs w:val="24"/>
              </w:rPr>
              <w:t>ISSUER</w:t>
            </w:r>
          </w:p>
          <w:p w14:paraId="2409D4C7" w14:textId="77777777" w:rsidR="00505294" w:rsidRPr="00200547" w:rsidRDefault="00505294" w:rsidP="00505294">
            <w:pPr>
              <w:spacing w:line="240" w:lineRule="auto"/>
              <w:ind w:right="-691"/>
              <w:jc w:val="center"/>
              <w:rPr>
                <w:rFonts w:ascii="Arial" w:hAnsi="Arial" w:cs="Arial"/>
                <w:b/>
                <w:color w:val="auto"/>
                <w:sz w:val="24"/>
                <w:szCs w:val="24"/>
              </w:rPr>
            </w:pPr>
          </w:p>
        </w:tc>
      </w:tr>
      <w:tr w:rsidR="007E3C4E" w:rsidRPr="00200547" w14:paraId="4A3FA9F8" w14:textId="77777777" w:rsidTr="00505294">
        <w:tc>
          <w:tcPr>
            <w:tcW w:w="9242" w:type="dxa"/>
            <w:gridSpan w:val="2"/>
            <w:shd w:val="clear" w:color="auto" w:fill="auto"/>
          </w:tcPr>
          <w:p w14:paraId="02DB1923" w14:textId="77777777" w:rsidR="00505294" w:rsidRPr="00200547" w:rsidRDefault="00505294" w:rsidP="00505294">
            <w:pPr>
              <w:spacing w:line="240" w:lineRule="auto"/>
              <w:ind w:right="-691"/>
              <w:jc w:val="center"/>
              <w:rPr>
                <w:rFonts w:ascii="Arial" w:eastAsia="SimHei" w:hAnsi="Arial" w:cs="Arial"/>
                <w:b/>
                <w:color w:val="auto"/>
                <w:sz w:val="20"/>
                <w:szCs w:val="20"/>
              </w:rPr>
            </w:pPr>
            <w:r w:rsidRPr="00200547">
              <w:rPr>
                <w:rFonts w:ascii="Arial" w:eastAsia="SimHei" w:hAnsi="Arial" w:cs="Arial"/>
                <w:b/>
                <w:color w:val="auto"/>
                <w:sz w:val="20"/>
                <w:szCs w:val="20"/>
              </w:rPr>
              <w:t>The Central People’s Government of</w:t>
            </w:r>
            <w:r w:rsidRPr="00200547">
              <w:rPr>
                <w:rFonts w:ascii="Arial" w:eastAsia="SimHei" w:hAnsi="Arial" w:cs="Arial"/>
                <w:b/>
                <w:color w:val="auto"/>
                <w:sz w:val="20"/>
                <w:szCs w:val="20"/>
              </w:rPr>
              <w:br/>
              <w:t>the People’s Republic of China</w:t>
            </w:r>
          </w:p>
          <w:p w14:paraId="2A6016ED" w14:textId="77777777" w:rsidR="00505294" w:rsidRPr="00200547" w:rsidRDefault="00505294" w:rsidP="00505294">
            <w:pPr>
              <w:spacing w:line="240" w:lineRule="auto"/>
              <w:ind w:right="-691"/>
              <w:jc w:val="center"/>
              <w:rPr>
                <w:rFonts w:ascii="Arial" w:hAnsi="Arial" w:cs="Arial"/>
                <w:b/>
                <w:color w:val="auto"/>
                <w:sz w:val="20"/>
                <w:szCs w:val="20"/>
              </w:rPr>
            </w:pPr>
            <w:r w:rsidRPr="00200547">
              <w:rPr>
                <w:rFonts w:ascii="Arial" w:eastAsia="SimHei" w:hAnsi="Arial" w:cs="Arial"/>
                <w:b/>
                <w:color w:val="auto"/>
                <w:sz w:val="20"/>
                <w:szCs w:val="20"/>
              </w:rPr>
              <w:t>Ministry of Finance</w:t>
            </w:r>
          </w:p>
          <w:p w14:paraId="435C5951"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Nansanxiang, Sanlihe, Xicheng District</w:t>
            </w:r>
          </w:p>
          <w:p w14:paraId="48DB5363"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Beijing 100820</w:t>
            </w:r>
          </w:p>
          <w:p w14:paraId="211AEA70" w14:textId="77777777" w:rsidR="00505294" w:rsidRPr="00200547" w:rsidRDefault="00505294" w:rsidP="00505294">
            <w:pPr>
              <w:spacing w:line="240" w:lineRule="auto"/>
              <w:ind w:right="-691"/>
              <w:jc w:val="center"/>
              <w:rPr>
                <w:rFonts w:ascii="Arial" w:hAnsi="Arial" w:cs="Arial"/>
                <w:color w:val="auto"/>
                <w:sz w:val="20"/>
                <w:szCs w:val="20"/>
              </w:rPr>
            </w:pPr>
          </w:p>
          <w:p w14:paraId="20A08CA0" w14:textId="77777777" w:rsidR="00505294" w:rsidRPr="00200547" w:rsidRDefault="00505294" w:rsidP="00505294">
            <w:pPr>
              <w:spacing w:line="240" w:lineRule="auto"/>
              <w:ind w:right="-691"/>
              <w:jc w:val="center"/>
              <w:rPr>
                <w:rFonts w:ascii="Arial" w:hAnsi="Arial" w:cs="Arial"/>
                <w:color w:val="auto"/>
                <w:sz w:val="24"/>
                <w:szCs w:val="24"/>
              </w:rPr>
            </w:pPr>
          </w:p>
        </w:tc>
      </w:tr>
      <w:tr w:rsidR="007E3C4E" w:rsidRPr="00200547" w14:paraId="1FA09335" w14:textId="77777777" w:rsidTr="00505294">
        <w:tc>
          <w:tcPr>
            <w:tcW w:w="9242" w:type="dxa"/>
            <w:gridSpan w:val="2"/>
            <w:shd w:val="clear" w:color="auto" w:fill="auto"/>
          </w:tcPr>
          <w:p w14:paraId="076872C1" w14:textId="77777777" w:rsidR="00505294" w:rsidRPr="00200547" w:rsidRDefault="00505294" w:rsidP="00505294">
            <w:pPr>
              <w:spacing w:line="240" w:lineRule="auto"/>
              <w:ind w:right="-691"/>
              <w:jc w:val="center"/>
              <w:rPr>
                <w:rFonts w:ascii="Arial" w:eastAsia="SimHei" w:hAnsi="Arial" w:cs="Arial"/>
                <w:b/>
                <w:color w:val="auto"/>
                <w:sz w:val="24"/>
                <w:szCs w:val="24"/>
              </w:rPr>
            </w:pPr>
            <w:r w:rsidRPr="00200547">
              <w:rPr>
                <w:rFonts w:ascii="Arial" w:eastAsia="SimHei" w:hAnsi="Arial" w:cs="Arial"/>
                <w:b/>
                <w:color w:val="auto"/>
                <w:sz w:val="24"/>
                <w:szCs w:val="24"/>
              </w:rPr>
              <w:t>ISSUING AND LODGING AGENT</w:t>
            </w:r>
          </w:p>
          <w:p w14:paraId="4D06F98E" w14:textId="77777777" w:rsidR="00505294" w:rsidRPr="00200547" w:rsidRDefault="00505294" w:rsidP="00505294">
            <w:pPr>
              <w:spacing w:line="240" w:lineRule="auto"/>
              <w:ind w:right="-691"/>
              <w:jc w:val="center"/>
              <w:rPr>
                <w:rFonts w:ascii="Arial" w:eastAsia="SimHei" w:hAnsi="Arial" w:cs="Arial"/>
                <w:b/>
                <w:color w:val="auto"/>
                <w:sz w:val="24"/>
                <w:szCs w:val="24"/>
              </w:rPr>
            </w:pPr>
          </w:p>
        </w:tc>
      </w:tr>
      <w:tr w:rsidR="007E3C4E" w:rsidRPr="00200547" w14:paraId="7A349E2B" w14:textId="77777777" w:rsidTr="00505294">
        <w:tc>
          <w:tcPr>
            <w:tcW w:w="9242" w:type="dxa"/>
            <w:gridSpan w:val="2"/>
            <w:shd w:val="clear" w:color="auto" w:fill="auto"/>
          </w:tcPr>
          <w:p w14:paraId="6E3C0AD4" w14:textId="77777777" w:rsidR="00505294" w:rsidRPr="00200547" w:rsidRDefault="00505294" w:rsidP="00505294">
            <w:pPr>
              <w:spacing w:line="240" w:lineRule="auto"/>
              <w:ind w:right="-691"/>
              <w:jc w:val="center"/>
              <w:rPr>
                <w:rFonts w:ascii="Arial" w:eastAsia="SimHei" w:hAnsi="Arial" w:cs="Arial"/>
                <w:b/>
                <w:color w:val="auto"/>
                <w:sz w:val="20"/>
                <w:szCs w:val="20"/>
              </w:rPr>
            </w:pPr>
            <w:r w:rsidRPr="00200547">
              <w:rPr>
                <w:rFonts w:ascii="Arial" w:eastAsia="SimHei" w:hAnsi="Arial" w:cs="Arial"/>
                <w:b/>
                <w:color w:val="auto"/>
                <w:sz w:val="20"/>
                <w:szCs w:val="20"/>
              </w:rPr>
              <w:t>Bank of Communications Co., Ltd.</w:t>
            </w:r>
          </w:p>
          <w:p w14:paraId="10785829" w14:textId="77777777" w:rsidR="00505294" w:rsidRPr="00200547" w:rsidRDefault="00505294" w:rsidP="00505294">
            <w:pPr>
              <w:spacing w:line="240" w:lineRule="auto"/>
              <w:ind w:right="-691"/>
              <w:jc w:val="center"/>
              <w:rPr>
                <w:rFonts w:ascii="Arial" w:hAnsi="Arial" w:cs="Arial"/>
                <w:b/>
                <w:color w:val="auto"/>
                <w:sz w:val="20"/>
                <w:szCs w:val="20"/>
                <w:lang w:val="sv-SE"/>
              </w:rPr>
            </w:pPr>
            <w:r w:rsidRPr="00200547">
              <w:rPr>
                <w:rFonts w:ascii="Arial" w:hAnsi="Arial" w:cs="Arial"/>
                <w:b/>
                <w:color w:val="auto"/>
                <w:sz w:val="20"/>
                <w:szCs w:val="20"/>
                <w:lang w:val="sv-SE"/>
              </w:rPr>
              <w:t>Hong Kong Branch</w:t>
            </w:r>
          </w:p>
          <w:p w14:paraId="73DADB28" w14:textId="77777777" w:rsidR="00505294" w:rsidRPr="00200547" w:rsidRDefault="00505294" w:rsidP="00505294">
            <w:pPr>
              <w:spacing w:line="240" w:lineRule="auto"/>
              <w:ind w:right="-691"/>
              <w:jc w:val="center"/>
              <w:rPr>
                <w:rFonts w:ascii="Arial" w:hAnsi="Arial" w:cs="Arial"/>
                <w:color w:val="auto"/>
                <w:sz w:val="20"/>
                <w:szCs w:val="20"/>
                <w:lang w:val="sv-SE"/>
              </w:rPr>
            </w:pPr>
            <w:r w:rsidRPr="00200547">
              <w:rPr>
                <w:rFonts w:ascii="Arial" w:hAnsi="Arial" w:cs="Arial"/>
                <w:color w:val="auto"/>
                <w:sz w:val="20"/>
                <w:szCs w:val="20"/>
                <w:lang w:val="sv-SE"/>
              </w:rPr>
              <w:t>20 Pedder Street</w:t>
            </w:r>
          </w:p>
          <w:p w14:paraId="2E168B90" w14:textId="77777777" w:rsidR="00505294" w:rsidRPr="00200547" w:rsidRDefault="00505294" w:rsidP="00505294">
            <w:pPr>
              <w:spacing w:line="240" w:lineRule="auto"/>
              <w:ind w:right="-691"/>
              <w:jc w:val="center"/>
              <w:rPr>
                <w:rFonts w:ascii="Arial" w:hAnsi="Arial" w:cs="Arial"/>
                <w:color w:val="auto"/>
                <w:sz w:val="20"/>
                <w:szCs w:val="20"/>
                <w:lang w:val="sv-SE"/>
              </w:rPr>
            </w:pPr>
            <w:r w:rsidRPr="00200547">
              <w:rPr>
                <w:rFonts w:ascii="Arial" w:hAnsi="Arial" w:cs="Arial"/>
                <w:color w:val="auto"/>
                <w:sz w:val="20"/>
                <w:szCs w:val="20"/>
                <w:lang w:val="sv-SE"/>
              </w:rPr>
              <w:t>Central, Hong Kong</w:t>
            </w:r>
          </w:p>
          <w:p w14:paraId="31F4DADF" w14:textId="77777777" w:rsidR="00505294" w:rsidRPr="00200547" w:rsidRDefault="00505294" w:rsidP="00505294">
            <w:pPr>
              <w:spacing w:line="240" w:lineRule="auto"/>
              <w:ind w:right="-691"/>
              <w:jc w:val="center"/>
              <w:rPr>
                <w:rFonts w:ascii="Arial" w:hAnsi="Arial" w:cs="Arial"/>
                <w:color w:val="auto"/>
                <w:sz w:val="20"/>
                <w:szCs w:val="20"/>
                <w:lang w:val="sv-SE"/>
              </w:rPr>
            </w:pPr>
          </w:p>
          <w:p w14:paraId="197D6266" w14:textId="77777777" w:rsidR="00505294" w:rsidRPr="00200547" w:rsidRDefault="00505294" w:rsidP="00505294">
            <w:pPr>
              <w:spacing w:line="240" w:lineRule="auto"/>
              <w:ind w:right="-691"/>
              <w:jc w:val="center"/>
              <w:rPr>
                <w:rFonts w:ascii="Arial" w:hAnsi="Arial" w:cs="Arial"/>
                <w:color w:val="auto"/>
                <w:sz w:val="20"/>
                <w:szCs w:val="20"/>
                <w:lang w:val="sv-SE"/>
              </w:rPr>
            </w:pPr>
          </w:p>
        </w:tc>
      </w:tr>
      <w:tr w:rsidR="007E3C4E" w:rsidRPr="00200547" w14:paraId="114E60F1" w14:textId="77777777" w:rsidTr="00505294">
        <w:tc>
          <w:tcPr>
            <w:tcW w:w="9242" w:type="dxa"/>
            <w:gridSpan w:val="2"/>
            <w:shd w:val="clear" w:color="auto" w:fill="auto"/>
          </w:tcPr>
          <w:p w14:paraId="4FA4E3E3" w14:textId="77777777" w:rsidR="00505294" w:rsidRPr="00200547" w:rsidRDefault="00505294" w:rsidP="00505294">
            <w:pPr>
              <w:spacing w:line="240" w:lineRule="auto"/>
              <w:ind w:right="-691"/>
              <w:jc w:val="center"/>
              <w:rPr>
                <w:rFonts w:ascii="Arial" w:eastAsia="SimHei" w:hAnsi="Arial" w:cs="Arial"/>
                <w:b/>
                <w:color w:val="auto"/>
                <w:sz w:val="24"/>
                <w:szCs w:val="24"/>
              </w:rPr>
            </w:pPr>
            <w:r w:rsidRPr="00200547">
              <w:rPr>
                <w:rFonts w:ascii="Arial" w:eastAsia="SimHei" w:hAnsi="Arial" w:cs="Arial"/>
                <w:b/>
                <w:color w:val="auto"/>
                <w:sz w:val="24"/>
                <w:szCs w:val="24"/>
              </w:rPr>
              <w:t>LEGAL ADVISORS TO ISSUER</w:t>
            </w:r>
          </w:p>
          <w:p w14:paraId="03C75682" w14:textId="77777777" w:rsidR="00505294" w:rsidRPr="00200547" w:rsidRDefault="00505294" w:rsidP="00505294">
            <w:pPr>
              <w:spacing w:line="240" w:lineRule="auto"/>
              <w:ind w:right="-691"/>
              <w:jc w:val="left"/>
              <w:rPr>
                <w:rFonts w:ascii="Arial" w:eastAsia="SimHei" w:hAnsi="Arial" w:cs="Arial"/>
                <w:b/>
                <w:color w:val="auto"/>
                <w:sz w:val="24"/>
                <w:szCs w:val="24"/>
              </w:rPr>
            </w:pPr>
          </w:p>
        </w:tc>
      </w:tr>
      <w:tr w:rsidR="007E3C4E" w:rsidRPr="00200547" w14:paraId="1900B0F6" w14:textId="77777777" w:rsidTr="00505294">
        <w:tc>
          <w:tcPr>
            <w:tcW w:w="4621" w:type="dxa"/>
            <w:shd w:val="clear" w:color="auto" w:fill="auto"/>
          </w:tcPr>
          <w:p w14:paraId="06E9BB5F" w14:textId="77777777" w:rsidR="00505294" w:rsidRPr="00200547" w:rsidRDefault="00505294" w:rsidP="00505294">
            <w:pPr>
              <w:spacing w:line="240" w:lineRule="auto"/>
              <w:ind w:right="-691"/>
              <w:jc w:val="center"/>
              <w:rPr>
                <w:rFonts w:ascii="Arial" w:hAnsi="Arial" w:cs="Arial"/>
                <w:i/>
                <w:color w:val="auto"/>
                <w:sz w:val="20"/>
                <w:szCs w:val="20"/>
              </w:rPr>
            </w:pPr>
            <w:r w:rsidRPr="00200547">
              <w:rPr>
                <w:rFonts w:ascii="Arial" w:hAnsi="Arial" w:cs="Arial"/>
                <w:i/>
                <w:color w:val="auto"/>
                <w:sz w:val="20"/>
                <w:szCs w:val="20"/>
              </w:rPr>
              <w:t>as to Hong Kong law</w:t>
            </w:r>
          </w:p>
          <w:p w14:paraId="4FC5D95E" w14:textId="77777777" w:rsidR="00505294" w:rsidRPr="00200547" w:rsidRDefault="00505294" w:rsidP="00505294">
            <w:pPr>
              <w:spacing w:line="240" w:lineRule="auto"/>
              <w:ind w:right="-691"/>
              <w:jc w:val="center"/>
              <w:rPr>
                <w:rFonts w:ascii="Arial" w:hAnsi="Arial" w:cs="Arial"/>
                <w:color w:val="auto"/>
                <w:sz w:val="20"/>
                <w:szCs w:val="20"/>
              </w:rPr>
            </w:pPr>
          </w:p>
          <w:p w14:paraId="7430CB47" w14:textId="77777777" w:rsidR="00505294" w:rsidRPr="00200547" w:rsidRDefault="00505294" w:rsidP="00505294">
            <w:pPr>
              <w:spacing w:line="240" w:lineRule="auto"/>
              <w:ind w:right="-691"/>
              <w:jc w:val="center"/>
              <w:rPr>
                <w:rFonts w:ascii="Arial" w:hAnsi="Arial" w:cs="Arial"/>
                <w:b/>
                <w:color w:val="auto"/>
                <w:sz w:val="20"/>
                <w:szCs w:val="20"/>
              </w:rPr>
            </w:pPr>
            <w:r w:rsidRPr="00200547">
              <w:rPr>
                <w:rFonts w:ascii="Arial" w:eastAsia="SimHei" w:hAnsi="Arial" w:cs="Arial"/>
                <w:b/>
                <w:color w:val="auto"/>
                <w:sz w:val="20"/>
                <w:szCs w:val="20"/>
              </w:rPr>
              <w:t>Linklaters</w:t>
            </w:r>
          </w:p>
          <w:p w14:paraId="0EF364B9" w14:textId="77777777" w:rsidR="00505294" w:rsidRPr="00200547" w:rsidRDefault="008217C6"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1</w:t>
            </w:r>
            <w:r>
              <w:rPr>
                <w:rFonts w:ascii="Arial" w:hAnsi="Arial" w:cs="Arial"/>
                <w:color w:val="auto"/>
                <w:sz w:val="20"/>
                <w:szCs w:val="20"/>
              </w:rPr>
              <w:t>1</w:t>
            </w:r>
            <w:r w:rsidRPr="00200547">
              <w:rPr>
                <w:rFonts w:ascii="Arial" w:hAnsi="Arial" w:cs="Arial"/>
                <w:color w:val="auto"/>
                <w:sz w:val="20"/>
                <w:szCs w:val="20"/>
              </w:rPr>
              <w:t xml:space="preserve">th </w:t>
            </w:r>
            <w:r w:rsidR="00505294" w:rsidRPr="00200547">
              <w:rPr>
                <w:rFonts w:ascii="Arial" w:hAnsi="Arial" w:cs="Arial"/>
                <w:color w:val="auto"/>
                <w:sz w:val="20"/>
                <w:szCs w:val="20"/>
              </w:rPr>
              <w:t>Floor</w:t>
            </w:r>
          </w:p>
          <w:p w14:paraId="2A6BBF7C"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Alexandra House</w:t>
            </w:r>
          </w:p>
          <w:p w14:paraId="029DCD52"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Chater Road</w:t>
            </w:r>
          </w:p>
          <w:p w14:paraId="7ADA6B06"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Central, Hong Kong</w:t>
            </w:r>
          </w:p>
          <w:p w14:paraId="2848B3C7" w14:textId="77777777" w:rsidR="00505294" w:rsidRPr="00200547" w:rsidRDefault="00505294" w:rsidP="00505294">
            <w:pPr>
              <w:spacing w:line="240" w:lineRule="auto"/>
              <w:ind w:right="-691"/>
              <w:jc w:val="center"/>
              <w:rPr>
                <w:rFonts w:ascii="Arial" w:hAnsi="Arial" w:cs="Arial"/>
                <w:color w:val="auto"/>
                <w:sz w:val="20"/>
                <w:szCs w:val="20"/>
              </w:rPr>
            </w:pPr>
          </w:p>
          <w:p w14:paraId="0825A7BF" w14:textId="77777777" w:rsidR="00505294" w:rsidRPr="00200547" w:rsidRDefault="00505294" w:rsidP="00505294">
            <w:pPr>
              <w:spacing w:line="240" w:lineRule="auto"/>
              <w:ind w:right="-691"/>
              <w:jc w:val="center"/>
              <w:rPr>
                <w:rFonts w:ascii="Arial" w:hAnsi="Arial" w:cs="Arial"/>
                <w:color w:val="auto"/>
                <w:sz w:val="20"/>
                <w:szCs w:val="20"/>
              </w:rPr>
            </w:pPr>
          </w:p>
        </w:tc>
        <w:tc>
          <w:tcPr>
            <w:tcW w:w="4621" w:type="dxa"/>
            <w:shd w:val="clear" w:color="auto" w:fill="auto"/>
          </w:tcPr>
          <w:p w14:paraId="27A104AF" w14:textId="77777777" w:rsidR="00505294" w:rsidRPr="00200547" w:rsidRDefault="00505294" w:rsidP="00505294">
            <w:pPr>
              <w:spacing w:line="240" w:lineRule="auto"/>
              <w:ind w:right="-691"/>
              <w:jc w:val="center"/>
              <w:rPr>
                <w:rFonts w:ascii="Arial" w:hAnsi="Arial" w:cs="Arial"/>
                <w:i/>
                <w:color w:val="auto"/>
                <w:sz w:val="20"/>
                <w:szCs w:val="20"/>
              </w:rPr>
            </w:pPr>
            <w:r w:rsidRPr="00200547">
              <w:rPr>
                <w:rFonts w:ascii="Arial" w:hAnsi="Arial" w:cs="Arial"/>
                <w:i/>
                <w:color w:val="auto"/>
                <w:sz w:val="20"/>
                <w:szCs w:val="20"/>
              </w:rPr>
              <w:t>as to PRC law</w:t>
            </w:r>
          </w:p>
          <w:p w14:paraId="673D6D30" w14:textId="77777777" w:rsidR="00505294" w:rsidRPr="00200547" w:rsidRDefault="00505294" w:rsidP="00505294">
            <w:pPr>
              <w:spacing w:line="240" w:lineRule="auto"/>
              <w:ind w:right="-691"/>
              <w:jc w:val="center"/>
              <w:rPr>
                <w:rFonts w:ascii="Arial" w:hAnsi="Arial" w:cs="Arial"/>
                <w:color w:val="auto"/>
                <w:sz w:val="20"/>
                <w:szCs w:val="20"/>
              </w:rPr>
            </w:pPr>
          </w:p>
          <w:p w14:paraId="3A92AC72" w14:textId="77777777" w:rsidR="00505294" w:rsidRPr="00200547" w:rsidRDefault="00505294" w:rsidP="00505294">
            <w:pPr>
              <w:spacing w:line="240" w:lineRule="auto"/>
              <w:ind w:right="-691"/>
              <w:jc w:val="center"/>
              <w:rPr>
                <w:rFonts w:ascii="Arial" w:hAnsi="Arial" w:cs="Arial"/>
                <w:b/>
                <w:color w:val="auto"/>
                <w:sz w:val="20"/>
                <w:szCs w:val="20"/>
              </w:rPr>
            </w:pPr>
            <w:r w:rsidRPr="00200547">
              <w:rPr>
                <w:rFonts w:ascii="Arial" w:hAnsi="Arial" w:cs="Arial"/>
                <w:b/>
                <w:color w:val="auto"/>
                <w:sz w:val="20"/>
                <w:szCs w:val="20"/>
              </w:rPr>
              <w:t>The Law Department of the</w:t>
            </w:r>
          </w:p>
          <w:p w14:paraId="27EE5B5F" w14:textId="77777777" w:rsidR="00505294" w:rsidRPr="00200547" w:rsidRDefault="00505294" w:rsidP="00505294">
            <w:pPr>
              <w:spacing w:line="240" w:lineRule="auto"/>
              <w:ind w:right="-691"/>
              <w:jc w:val="center"/>
              <w:rPr>
                <w:rFonts w:ascii="Arial" w:hAnsi="Arial" w:cs="Arial"/>
                <w:b/>
                <w:color w:val="auto"/>
                <w:sz w:val="20"/>
                <w:szCs w:val="20"/>
              </w:rPr>
            </w:pPr>
            <w:r w:rsidRPr="00200547">
              <w:rPr>
                <w:rFonts w:ascii="Arial" w:hAnsi="Arial" w:cs="Arial"/>
                <w:b/>
                <w:color w:val="auto"/>
                <w:sz w:val="20"/>
                <w:szCs w:val="20"/>
              </w:rPr>
              <w:t>Ministry of Finance</w:t>
            </w:r>
          </w:p>
          <w:p w14:paraId="7E3409B3"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Nansanxiang, Sanlihe, Xicheng District</w:t>
            </w:r>
          </w:p>
          <w:p w14:paraId="2D650F17"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Beijing 100820</w:t>
            </w:r>
          </w:p>
        </w:tc>
      </w:tr>
      <w:tr w:rsidR="007E3C4E" w:rsidRPr="00200547" w14:paraId="6422810D" w14:textId="77777777" w:rsidTr="00505294">
        <w:tc>
          <w:tcPr>
            <w:tcW w:w="9242" w:type="dxa"/>
            <w:gridSpan w:val="2"/>
            <w:shd w:val="clear" w:color="auto" w:fill="auto"/>
          </w:tcPr>
          <w:p w14:paraId="4A918B68" w14:textId="77777777" w:rsidR="00505294" w:rsidRPr="00200547" w:rsidRDefault="00505294" w:rsidP="00505294">
            <w:pPr>
              <w:spacing w:line="240" w:lineRule="auto"/>
              <w:ind w:right="-691"/>
              <w:jc w:val="center"/>
              <w:rPr>
                <w:rFonts w:ascii="Arial" w:eastAsia="SimHei" w:hAnsi="Arial" w:cs="Arial"/>
                <w:b/>
                <w:color w:val="auto"/>
                <w:sz w:val="24"/>
                <w:szCs w:val="24"/>
              </w:rPr>
            </w:pPr>
            <w:r w:rsidRPr="00200547">
              <w:rPr>
                <w:rFonts w:ascii="Arial" w:eastAsia="SimHei" w:hAnsi="Arial" w:cs="Arial"/>
                <w:b/>
                <w:color w:val="auto"/>
                <w:sz w:val="24"/>
                <w:szCs w:val="24"/>
              </w:rPr>
              <w:t>LEGAL ADVISORS TO ISSUING AND LODGING AGENT</w:t>
            </w:r>
          </w:p>
          <w:p w14:paraId="4C9DFDE8" w14:textId="77777777" w:rsidR="00505294" w:rsidRPr="00200547" w:rsidRDefault="00505294" w:rsidP="00505294">
            <w:pPr>
              <w:spacing w:line="240" w:lineRule="auto"/>
              <w:ind w:right="-691"/>
              <w:jc w:val="left"/>
              <w:rPr>
                <w:rFonts w:ascii="Arial" w:eastAsia="SimHei" w:hAnsi="Arial" w:cs="Arial"/>
                <w:b/>
                <w:color w:val="auto"/>
                <w:sz w:val="24"/>
                <w:szCs w:val="24"/>
              </w:rPr>
            </w:pPr>
          </w:p>
        </w:tc>
      </w:tr>
      <w:tr w:rsidR="00505294" w:rsidRPr="00200547" w14:paraId="1A02E25B" w14:textId="77777777" w:rsidTr="00505294">
        <w:tc>
          <w:tcPr>
            <w:tcW w:w="4621" w:type="dxa"/>
            <w:shd w:val="clear" w:color="auto" w:fill="auto"/>
          </w:tcPr>
          <w:p w14:paraId="1ABDAC69" w14:textId="77777777" w:rsidR="00505294" w:rsidRPr="00200547" w:rsidRDefault="00505294" w:rsidP="00505294">
            <w:pPr>
              <w:spacing w:line="240" w:lineRule="auto"/>
              <w:ind w:right="-691"/>
              <w:jc w:val="center"/>
              <w:rPr>
                <w:rFonts w:ascii="Arial" w:hAnsi="Arial" w:cs="Arial"/>
                <w:i/>
                <w:color w:val="auto"/>
                <w:sz w:val="20"/>
                <w:szCs w:val="20"/>
              </w:rPr>
            </w:pPr>
            <w:r w:rsidRPr="00200547">
              <w:rPr>
                <w:rFonts w:ascii="Arial" w:hAnsi="Arial" w:cs="Arial"/>
                <w:i/>
                <w:color w:val="auto"/>
                <w:sz w:val="20"/>
                <w:szCs w:val="20"/>
              </w:rPr>
              <w:t>as to Hong Kong law</w:t>
            </w:r>
          </w:p>
          <w:p w14:paraId="798C0611" w14:textId="77777777" w:rsidR="00505294" w:rsidRPr="00200547" w:rsidRDefault="00505294" w:rsidP="00505294">
            <w:pPr>
              <w:spacing w:line="240" w:lineRule="auto"/>
              <w:ind w:right="-691"/>
              <w:jc w:val="center"/>
              <w:rPr>
                <w:rFonts w:ascii="Arial" w:hAnsi="Arial" w:cs="Arial"/>
                <w:color w:val="auto"/>
                <w:sz w:val="20"/>
                <w:szCs w:val="20"/>
              </w:rPr>
            </w:pPr>
          </w:p>
          <w:p w14:paraId="0BD1B6C9" w14:textId="77777777" w:rsidR="00505294" w:rsidRPr="00200547" w:rsidRDefault="00505294" w:rsidP="00505294">
            <w:pPr>
              <w:spacing w:line="240" w:lineRule="auto"/>
              <w:ind w:right="-691"/>
              <w:jc w:val="center"/>
              <w:rPr>
                <w:rFonts w:ascii="Arial" w:eastAsia="SimHei" w:hAnsi="Arial" w:cs="Arial"/>
                <w:bCs/>
                <w:color w:val="auto"/>
                <w:sz w:val="20"/>
                <w:szCs w:val="20"/>
              </w:rPr>
            </w:pPr>
            <w:r w:rsidRPr="00200547">
              <w:rPr>
                <w:rFonts w:ascii="Arial" w:eastAsia="SimHei" w:hAnsi="Arial" w:cs="Arial"/>
                <w:b/>
                <w:color w:val="auto"/>
                <w:sz w:val="20"/>
                <w:szCs w:val="20"/>
              </w:rPr>
              <w:t xml:space="preserve">Deacons </w:t>
            </w:r>
            <w:r w:rsidRPr="00200547">
              <w:rPr>
                <w:rFonts w:ascii="Arial" w:eastAsia="SimHei" w:hAnsi="Arial" w:cs="Arial"/>
                <w:bCs/>
                <w:color w:val="auto"/>
                <w:sz w:val="20"/>
                <w:szCs w:val="20"/>
              </w:rPr>
              <w:br/>
              <w:t>5/F Floor</w:t>
            </w:r>
            <w:r w:rsidRPr="00200547">
              <w:rPr>
                <w:rFonts w:ascii="Arial" w:eastAsia="SimHei" w:hAnsi="Arial" w:cs="Arial"/>
                <w:bCs/>
                <w:color w:val="auto"/>
                <w:sz w:val="20"/>
                <w:szCs w:val="20"/>
              </w:rPr>
              <w:br/>
              <w:t>Alexandra House</w:t>
            </w:r>
            <w:r w:rsidRPr="00200547">
              <w:rPr>
                <w:rFonts w:ascii="Arial" w:eastAsia="SimHei" w:hAnsi="Arial" w:cs="Arial"/>
                <w:bCs/>
                <w:color w:val="auto"/>
                <w:sz w:val="20"/>
                <w:szCs w:val="20"/>
              </w:rPr>
              <w:br/>
              <w:t>Chater Road</w:t>
            </w:r>
            <w:r w:rsidRPr="00200547">
              <w:rPr>
                <w:rFonts w:ascii="Arial" w:eastAsia="SimHei" w:hAnsi="Arial" w:cs="Arial"/>
                <w:bCs/>
                <w:color w:val="auto"/>
                <w:sz w:val="20"/>
                <w:szCs w:val="20"/>
              </w:rPr>
              <w:br/>
              <w:t>Central, Hong Kong</w:t>
            </w:r>
          </w:p>
        </w:tc>
        <w:tc>
          <w:tcPr>
            <w:tcW w:w="4621" w:type="dxa"/>
            <w:shd w:val="clear" w:color="auto" w:fill="auto"/>
          </w:tcPr>
          <w:p w14:paraId="075DF332" w14:textId="77777777" w:rsidR="00505294" w:rsidRPr="00200547" w:rsidRDefault="00505294" w:rsidP="00505294">
            <w:pPr>
              <w:spacing w:line="240" w:lineRule="auto"/>
              <w:ind w:right="-691"/>
              <w:jc w:val="center"/>
              <w:rPr>
                <w:rFonts w:ascii="Arial" w:hAnsi="Arial" w:cs="Arial"/>
                <w:i/>
                <w:color w:val="auto"/>
                <w:sz w:val="20"/>
                <w:szCs w:val="20"/>
              </w:rPr>
            </w:pPr>
            <w:r w:rsidRPr="00200547">
              <w:rPr>
                <w:rFonts w:ascii="Arial" w:hAnsi="Arial" w:cs="Arial"/>
                <w:i/>
                <w:color w:val="auto"/>
                <w:sz w:val="20"/>
                <w:szCs w:val="20"/>
              </w:rPr>
              <w:t>as to PRC law</w:t>
            </w:r>
          </w:p>
          <w:p w14:paraId="3A478527" w14:textId="77777777" w:rsidR="00505294" w:rsidRPr="00200547" w:rsidRDefault="00505294" w:rsidP="00505294">
            <w:pPr>
              <w:spacing w:line="240" w:lineRule="auto"/>
              <w:ind w:right="-691"/>
              <w:jc w:val="center"/>
              <w:rPr>
                <w:rFonts w:ascii="Arial" w:hAnsi="Arial" w:cs="Arial"/>
                <w:color w:val="auto"/>
                <w:sz w:val="20"/>
                <w:szCs w:val="20"/>
              </w:rPr>
            </w:pPr>
          </w:p>
          <w:p w14:paraId="64CC07A7" w14:textId="77777777" w:rsidR="00505294" w:rsidRPr="00200547" w:rsidRDefault="00505294" w:rsidP="00505294">
            <w:pPr>
              <w:spacing w:line="240" w:lineRule="auto"/>
              <w:ind w:right="-691"/>
              <w:jc w:val="center"/>
              <w:rPr>
                <w:rFonts w:ascii="Arial" w:eastAsia="SimHei" w:hAnsi="Arial" w:cs="Arial"/>
                <w:b/>
                <w:color w:val="auto"/>
                <w:sz w:val="20"/>
                <w:szCs w:val="20"/>
                <w:lang w:eastAsia="zh-CN"/>
              </w:rPr>
            </w:pPr>
            <w:r w:rsidRPr="00200547">
              <w:rPr>
                <w:rFonts w:ascii="Arial" w:eastAsia="SimHei" w:hAnsi="Arial" w:cs="Arial"/>
                <w:b/>
                <w:color w:val="auto"/>
                <w:sz w:val="20"/>
                <w:szCs w:val="20"/>
                <w:lang w:eastAsia="zh-CN"/>
              </w:rPr>
              <w:t>Fangda Partners</w:t>
            </w:r>
          </w:p>
          <w:p w14:paraId="024E6D62" w14:textId="77777777" w:rsidR="00505294" w:rsidRPr="00200547" w:rsidRDefault="00505294" w:rsidP="00505294">
            <w:pPr>
              <w:spacing w:line="240" w:lineRule="auto"/>
              <w:ind w:right="-691"/>
              <w:jc w:val="center"/>
              <w:rPr>
                <w:rFonts w:ascii="Arial" w:eastAsia="SimSun" w:hAnsi="Arial" w:cs="Arial"/>
                <w:color w:val="auto"/>
                <w:sz w:val="20"/>
                <w:szCs w:val="20"/>
                <w:lang w:val="en-GB" w:eastAsia="zh-CN"/>
              </w:rPr>
            </w:pPr>
            <w:r w:rsidRPr="00200547">
              <w:rPr>
                <w:rFonts w:ascii="Arial" w:eastAsia="SimSun" w:hAnsi="Arial" w:cs="Arial"/>
                <w:color w:val="auto"/>
                <w:sz w:val="20"/>
                <w:szCs w:val="20"/>
                <w:lang w:val="en-GB" w:eastAsia="zh-CN"/>
              </w:rPr>
              <w:t>27/F, North Tower</w:t>
            </w:r>
          </w:p>
          <w:p w14:paraId="15C708AB" w14:textId="77777777" w:rsidR="00505294" w:rsidRPr="00200547" w:rsidRDefault="00505294" w:rsidP="00505294">
            <w:pPr>
              <w:spacing w:line="240" w:lineRule="auto"/>
              <w:ind w:right="-691"/>
              <w:jc w:val="center"/>
              <w:rPr>
                <w:rFonts w:ascii="Arial" w:eastAsia="SimSun" w:hAnsi="Arial" w:cs="Arial"/>
                <w:color w:val="auto"/>
                <w:sz w:val="20"/>
                <w:szCs w:val="20"/>
                <w:lang w:eastAsia="zh-CN"/>
              </w:rPr>
            </w:pPr>
            <w:r w:rsidRPr="00200547">
              <w:rPr>
                <w:rFonts w:ascii="Arial" w:eastAsia="SimSun" w:hAnsi="Arial" w:cs="Arial"/>
                <w:color w:val="auto"/>
                <w:sz w:val="20"/>
                <w:szCs w:val="20"/>
                <w:lang w:val="en-GB" w:eastAsia="zh-CN"/>
              </w:rPr>
              <w:t>Beijing Kerry Centre</w:t>
            </w:r>
          </w:p>
          <w:p w14:paraId="0FA44737" w14:textId="77777777" w:rsidR="00505294" w:rsidRPr="00200547" w:rsidRDefault="00505294" w:rsidP="00505294">
            <w:pPr>
              <w:spacing w:line="240" w:lineRule="auto"/>
              <w:ind w:right="-691"/>
              <w:jc w:val="center"/>
              <w:rPr>
                <w:rFonts w:ascii="Arial" w:eastAsia="SimSun" w:hAnsi="Arial" w:cs="Arial"/>
                <w:color w:val="auto"/>
                <w:sz w:val="20"/>
                <w:szCs w:val="20"/>
                <w:lang w:eastAsia="zh-CN"/>
              </w:rPr>
            </w:pPr>
            <w:r w:rsidRPr="00200547">
              <w:rPr>
                <w:rFonts w:ascii="Arial" w:eastAsia="SimSun" w:hAnsi="Arial" w:cs="Arial"/>
                <w:color w:val="auto"/>
                <w:sz w:val="20"/>
                <w:szCs w:val="20"/>
                <w:lang w:eastAsia="zh-CN"/>
              </w:rPr>
              <w:t>1 Guanghua Road, Chaoyang District</w:t>
            </w:r>
          </w:p>
          <w:p w14:paraId="2C4CD136"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eastAsia="SimSun" w:hAnsi="Arial" w:cs="Arial"/>
                <w:color w:val="auto"/>
                <w:sz w:val="20"/>
                <w:szCs w:val="20"/>
                <w:lang w:eastAsia="zh-CN"/>
              </w:rPr>
              <w:t>Beijing 100020</w:t>
            </w:r>
          </w:p>
        </w:tc>
      </w:tr>
    </w:tbl>
    <w:p w14:paraId="7BB27973" w14:textId="77777777" w:rsidR="00505294" w:rsidRPr="00200547" w:rsidRDefault="00505294" w:rsidP="00505294">
      <w:pPr>
        <w:spacing w:line="240" w:lineRule="auto"/>
        <w:ind w:right="-691"/>
        <w:rPr>
          <w:rFonts w:ascii="Arial" w:hAnsi="Arial" w:cs="Arial"/>
          <w:color w:val="auto"/>
        </w:rPr>
      </w:pPr>
    </w:p>
    <w:sectPr w:rsidR="00505294" w:rsidRPr="00200547">
      <w:footerReference w:type="default" r:id="rId13"/>
      <w:pgSz w:w="11906" w:h="16838" w:code="9"/>
      <w:pgMar w:top="850" w:right="1411" w:bottom="850" w:left="1411" w:header="720" w:footer="720" w:gutter="0"/>
      <w:cols w:space="720"/>
      <w:vAlign w:val="center"/>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C6CFC" w14:textId="77777777" w:rsidR="004034EA" w:rsidRDefault="004034EA">
      <w:pPr>
        <w:spacing w:line="240" w:lineRule="auto"/>
      </w:pPr>
      <w:r>
        <w:separator/>
      </w:r>
    </w:p>
  </w:endnote>
  <w:endnote w:type="continuationSeparator" w:id="0">
    <w:p w14:paraId="40EE49C6" w14:textId="77777777" w:rsidR="004034EA" w:rsidRDefault="00403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7BC5" w14:textId="77777777" w:rsidR="004034EA" w:rsidRDefault="00403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3401BE" w14:textId="77777777" w:rsidR="004034EA" w:rsidRDefault="00403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BD02" w14:textId="77777777" w:rsidR="004034EA" w:rsidRPr="009629EE" w:rsidRDefault="004034EA" w:rsidP="00505294">
    <w:pPr>
      <w:pStyle w:val="Footer"/>
      <w:jc w:val="lef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164C" w14:textId="77777777" w:rsidR="004034EA" w:rsidRPr="008F68E3" w:rsidRDefault="004034EA" w:rsidP="008F68E3">
    <w:pPr>
      <w:pStyle w:val="Footer"/>
      <w:rPr>
        <w:rFonts w:ascii="Arial" w:hAnsi="Arial" w:cs="Arial"/>
        <w:sz w:val="18"/>
        <w:szCs w:val="18"/>
      </w:rPr>
    </w:pPr>
    <w:r w:rsidRPr="008F68E3">
      <w:rPr>
        <w:rFonts w:ascii="Arial" w:hAnsi="Arial" w:cs="Arial"/>
        <w:sz w:val="18"/>
        <w:szCs w:val="18"/>
      </w:rPr>
      <w:tab/>
    </w:r>
    <w:r w:rsidRPr="008F68E3">
      <w:rPr>
        <w:rStyle w:val="PageNumber"/>
        <w:rFonts w:ascii="Arial" w:hAnsi="Arial" w:cs="Arial"/>
        <w:sz w:val="18"/>
        <w:szCs w:val="18"/>
      </w:rPr>
      <w:fldChar w:fldCharType="begin"/>
    </w:r>
    <w:r w:rsidRPr="008F68E3">
      <w:rPr>
        <w:rStyle w:val="PageNumber"/>
        <w:rFonts w:ascii="Arial" w:hAnsi="Arial" w:cs="Arial"/>
        <w:sz w:val="18"/>
        <w:szCs w:val="18"/>
      </w:rPr>
      <w:instrText xml:space="preserve"> PAGE </w:instrText>
    </w:r>
    <w:r w:rsidRPr="008F68E3">
      <w:rPr>
        <w:rStyle w:val="PageNumber"/>
        <w:rFonts w:ascii="Arial" w:hAnsi="Arial" w:cs="Arial"/>
        <w:sz w:val="18"/>
        <w:szCs w:val="18"/>
      </w:rPr>
      <w:fldChar w:fldCharType="separate"/>
    </w:r>
    <w:r w:rsidRPr="008F68E3">
      <w:rPr>
        <w:rStyle w:val="PageNumber"/>
        <w:rFonts w:ascii="Arial" w:hAnsi="Arial" w:cs="Arial"/>
        <w:sz w:val="18"/>
        <w:szCs w:val="18"/>
      </w:rPr>
      <w:t>2</w:t>
    </w:r>
    <w:r w:rsidRPr="008F68E3">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E013" w14:textId="77777777" w:rsidR="004034EA" w:rsidRPr="00F93AA8" w:rsidRDefault="004034EA" w:rsidP="00F9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9332" w14:textId="77777777" w:rsidR="004034EA" w:rsidRDefault="004034EA">
      <w:pPr>
        <w:spacing w:line="240" w:lineRule="auto"/>
      </w:pPr>
      <w:r>
        <w:separator/>
      </w:r>
    </w:p>
  </w:footnote>
  <w:footnote w:type="continuationSeparator" w:id="0">
    <w:p w14:paraId="72A5A7C3" w14:textId="77777777" w:rsidR="004034EA" w:rsidRDefault="00403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BC3E" w14:textId="77777777" w:rsidR="004034EA" w:rsidRPr="008F68E3" w:rsidRDefault="004034EA" w:rsidP="008F6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4E46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CE16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5AF2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0C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366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20F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16DB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BCD0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CEC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FEA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A18C7"/>
    <w:multiLevelType w:val="multilevel"/>
    <w:tmpl w:val="91B0855E"/>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Level2"/>
      <w:lvlText w:val="%1.%2"/>
      <w:lvlJc w:val="left"/>
      <w:pPr>
        <w:tabs>
          <w:tab w:val="num" w:pos="567"/>
        </w:tabs>
        <w:ind w:left="567" w:hanging="567"/>
      </w:pPr>
      <w:rPr>
        <w:rFonts w:ascii="Arial" w:hAnsi="Arial" w:hint="default"/>
        <w:b/>
        <w:i w:val="0"/>
        <w:sz w:val="20"/>
      </w:rPr>
    </w:lvl>
    <w:lvl w:ilvl="2">
      <w:start w:val="1"/>
      <w:numFmt w:val="decimal"/>
      <w:pStyle w:val="Level3"/>
      <w:lvlText w:val="%1.%2.%3"/>
      <w:lvlJc w:val="left"/>
      <w:pPr>
        <w:tabs>
          <w:tab w:val="num" w:pos="1247"/>
        </w:tabs>
        <w:ind w:left="1247" w:hanging="680"/>
      </w:pPr>
      <w:rPr>
        <w:b/>
        <w:i w:val="0"/>
        <w:sz w:val="17"/>
      </w:rPr>
    </w:lvl>
    <w:lvl w:ilvl="3">
      <w:start w:val="1"/>
      <w:numFmt w:val="lowerRoman"/>
      <w:pStyle w:val="Level4"/>
      <w:lvlText w:val="(%4)"/>
      <w:lvlJc w:val="left"/>
      <w:pPr>
        <w:tabs>
          <w:tab w:val="num" w:pos="1928"/>
        </w:tabs>
        <w:ind w:left="1928" w:hanging="681"/>
      </w:pPr>
    </w:lvl>
    <w:lvl w:ilvl="4">
      <w:start w:val="1"/>
      <w:numFmt w:val="lowerLetter"/>
      <w:pStyle w:val="alpha6"/>
      <w:lvlText w:val="(%5)"/>
      <w:lvlJc w:val="left"/>
      <w:pPr>
        <w:tabs>
          <w:tab w:val="num" w:pos="2495"/>
        </w:tabs>
        <w:ind w:left="2495" w:hanging="567"/>
      </w:pPr>
    </w:lvl>
    <w:lvl w:ilvl="5">
      <w:start w:val="1"/>
      <w:numFmt w:val="upperRoman"/>
      <w:pStyle w:val="roman4"/>
      <w:lvlText w:val="(%6)"/>
      <w:lvlJc w:val="left"/>
      <w:pPr>
        <w:tabs>
          <w:tab w:val="num" w:pos="3175"/>
        </w:tabs>
        <w:ind w:left="3175"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1" w15:restartNumberingAfterBreak="0">
    <w:nsid w:val="35CC0F4D"/>
    <w:multiLevelType w:val="hybridMultilevel"/>
    <w:tmpl w:val="525C1F92"/>
    <w:lvl w:ilvl="0" w:tplc="50202DCA">
      <w:start w:val="1"/>
      <w:numFmt w:val="bullet"/>
      <w:lvlText w:val=""/>
      <w:lvlJc w:val="left"/>
      <w:pPr>
        <w:tabs>
          <w:tab w:val="num" w:pos="720"/>
        </w:tabs>
        <w:ind w:left="720" w:hanging="360"/>
      </w:pPr>
      <w:rPr>
        <w:rFonts w:ascii="Wingdings" w:hAnsi="Wingdings" w:hint="default"/>
      </w:rPr>
    </w:lvl>
    <w:lvl w:ilvl="1" w:tplc="E2F6AB0C" w:tentative="1">
      <w:start w:val="1"/>
      <w:numFmt w:val="bullet"/>
      <w:lvlText w:val="o"/>
      <w:lvlJc w:val="left"/>
      <w:pPr>
        <w:tabs>
          <w:tab w:val="num" w:pos="1440"/>
        </w:tabs>
        <w:ind w:left="1440" w:hanging="360"/>
      </w:pPr>
      <w:rPr>
        <w:rFonts w:ascii="Courier New" w:hAnsi="Courier New" w:cs="Courier New" w:hint="default"/>
      </w:rPr>
    </w:lvl>
    <w:lvl w:ilvl="2" w:tplc="5C6CF8AA" w:tentative="1">
      <w:start w:val="1"/>
      <w:numFmt w:val="bullet"/>
      <w:lvlText w:val=""/>
      <w:lvlJc w:val="left"/>
      <w:pPr>
        <w:tabs>
          <w:tab w:val="num" w:pos="2160"/>
        </w:tabs>
        <w:ind w:left="2160" w:hanging="360"/>
      </w:pPr>
      <w:rPr>
        <w:rFonts w:ascii="Wingdings" w:hAnsi="Wingdings" w:hint="default"/>
      </w:rPr>
    </w:lvl>
    <w:lvl w:ilvl="3" w:tplc="45C878E4" w:tentative="1">
      <w:start w:val="1"/>
      <w:numFmt w:val="bullet"/>
      <w:lvlText w:val=""/>
      <w:lvlJc w:val="left"/>
      <w:pPr>
        <w:tabs>
          <w:tab w:val="num" w:pos="2880"/>
        </w:tabs>
        <w:ind w:left="2880" w:hanging="360"/>
      </w:pPr>
      <w:rPr>
        <w:rFonts w:ascii="Symbol" w:hAnsi="Symbol" w:hint="default"/>
      </w:rPr>
    </w:lvl>
    <w:lvl w:ilvl="4" w:tplc="1E2AA660" w:tentative="1">
      <w:start w:val="1"/>
      <w:numFmt w:val="bullet"/>
      <w:lvlText w:val="o"/>
      <w:lvlJc w:val="left"/>
      <w:pPr>
        <w:tabs>
          <w:tab w:val="num" w:pos="3600"/>
        </w:tabs>
        <w:ind w:left="3600" w:hanging="360"/>
      </w:pPr>
      <w:rPr>
        <w:rFonts w:ascii="Courier New" w:hAnsi="Courier New" w:cs="Courier New" w:hint="default"/>
      </w:rPr>
    </w:lvl>
    <w:lvl w:ilvl="5" w:tplc="31E47E6E" w:tentative="1">
      <w:start w:val="1"/>
      <w:numFmt w:val="bullet"/>
      <w:lvlText w:val=""/>
      <w:lvlJc w:val="left"/>
      <w:pPr>
        <w:tabs>
          <w:tab w:val="num" w:pos="4320"/>
        </w:tabs>
        <w:ind w:left="4320" w:hanging="360"/>
      </w:pPr>
      <w:rPr>
        <w:rFonts w:ascii="Wingdings" w:hAnsi="Wingdings" w:hint="default"/>
      </w:rPr>
    </w:lvl>
    <w:lvl w:ilvl="6" w:tplc="B9DE0DDC" w:tentative="1">
      <w:start w:val="1"/>
      <w:numFmt w:val="bullet"/>
      <w:lvlText w:val=""/>
      <w:lvlJc w:val="left"/>
      <w:pPr>
        <w:tabs>
          <w:tab w:val="num" w:pos="5040"/>
        </w:tabs>
        <w:ind w:left="5040" w:hanging="360"/>
      </w:pPr>
      <w:rPr>
        <w:rFonts w:ascii="Symbol" w:hAnsi="Symbol" w:hint="default"/>
      </w:rPr>
    </w:lvl>
    <w:lvl w:ilvl="7" w:tplc="2556A6D6" w:tentative="1">
      <w:start w:val="1"/>
      <w:numFmt w:val="bullet"/>
      <w:lvlText w:val="o"/>
      <w:lvlJc w:val="left"/>
      <w:pPr>
        <w:tabs>
          <w:tab w:val="num" w:pos="5760"/>
        </w:tabs>
        <w:ind w:left="5760" w:hanging="360"/>
      </w:pPr>
      <w:rPr>
        <w:rFonts w:ascii="Courier New" w:hAnsi="Courier New" w:cs="Courier New" w:hint="default"/>
      </w:rPr>
    </w:lvl>
    <w:lvl w:ilvl="8" w:tplc="0D62C2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70BB8"/>
    <w:multiLevelType w:val="hybridMultilevel"/>
    <w:tmpl w:val="9C0C21B0"/>
    <w:lvl w:ilvl="0" w:tplc="703E8008">
      <w:start w:val="1"/>
      <w:numFmt w:val="bullet"/>
      <w:lvlText w:val=""/>
      <w:lvlJc w:val="left"/>
      <w:pPr>
        <w:tabs>
          <w:tab w:val="num" w:pos="720"/>
        </w:tabs>
        <w:ind w:left="720" w:hanging="360"/>
      </w:pPr>
      <w:rPr>
        <w:rFonts w:ascii="Wingdings" w:hAnsi="Wingdings" w:hint="default"/>
      </w:rPr>
    </w:lvl>
    <w:lvl w:ilvl="1" w:tplc="30B4C496" w:tentative="1">
      <w:start w:val="1"/>
      <w:numFmt w:val="bullet"/>
      <w:lvlText w:val="o"/>
      <w:lvlJc w:val="left"/>
      <w:pPr>
        <w:tabs>
          <w:tab w:val="num" w:pos="1440"/>
        </w:tabs>
        <w:ind w:left="1440" w:hanging="360"/>
      </w:pPr>
      <w:rPr>
        <w:rFonts w:ascii="Courier New" w:hAnsi="Courier New" w:cs="Courier New" w:hint="default"/>
      </w:rPr>
    </w:lvl>
    <w:lvl w:ilvl="2" w:tplc="5366C094" w:tentative="1">
      <w:start w:val="1"/>
      <w:numFmt w:val="bullet"/>
      <w:lvlText w:val=""/>
      <w:lvlJc w:val="left"/>
      <w:pPr>
        <w:tabs>
          <w:tab w:val="num" w:pos="2160"/>
        </w:tabs>
        <w:ind w:left="2160" w:hanging="360"/>
      </w:pPr>
      <w:rPr>
        <w:rFonts w:ascii="Wingdings" w:hAnsi="Wingdings" w:hint="default"/>
      </w:rPr>
    </w:lvl>
    <w:lvl w:ilvl="3" w:tplc="78643578" w:tentative="1">
      <w:start w:val="1"/>
      <w:numFmt w:val="bullet"/>
      <w:lvlText w:val=""/>
      <w:lvlJc w:val="left"/>
      <w:pPr>
        <w:tabs>
          <w:tab w:val="num" w:pos="2880"/>
        </w:tabs>
        <w:ind w:left="2880" w:hanging="360"/>
      </w:pPr>
      <w:rPr>
        <w:rFonts w:ascii="Symbol" w:hAnsi="Symbol" w:hint="default"/>
      </w:rPr>
    </w:lvl>
    <w:lvl w:ilvl="4" w:tplc="88AEFE84" w:tentative="1">
      <w:start w:val="1"/>
      <w:numFmt w:val="bullet"/>
      <w:lvlText w:val="o"/>
      <w:lvlJc w:val="left"/>
      <w:pPr>
        <w:tabs>
          <w:tab w:val="num" w:pos="3600"/>
        </w:tabs>
        <w:ind w:left="3600" w:hanging="360"/>
      </w:pPr>
      <w:rPr>
        <w:rFonts w:ascii="Courier New" w:hAnsi="Courier New" w:cs="Courier New" w:hint="default"/>
      </w:rPr>
    </w:lvl>
    <w:lvl w:ilvl="5" w:tplc="A7CCECAC" w:tentative="1">
      <w:start w:val="1"/>
      <w:numFmt w:val="bullet"/>
      <w:lvlText w:val=""/>
      <w:lvlJc w:val="left"/>
      <w:pPr>
        <w:tabs>
          <w:tab w:val="num" w:pos="4320"/>
        </w:tabs>
        <w:ind w:left="4320" w:hanging="360"/>
      </w:pPr>
      <w:rPr>
        <w:rFonts w:ascii="Wingdings" w:hAnsi="Wingdings" w:hint="default"/>
      </w:rPr>
    </w:lvl>
    <w:lvl w:ilvl="6" w:tplc="166EE5F4" w:tentative="1">
      <w:start w:val="1"/>
      <w:numFmt w:val="bullet"/>
      <w:lvlText w:val=""/>
      <w:lvlJc w:val="left"/>
      <w:pPr>
        <w:tabs>
          <w:tab w:val="num" w:pos="5040"/>
        </w:tabs>
        <w:ind w:left="5040" w:hanging="360"/>
      </w:pPr>
      <w:rPr>
        <w:rFonts w:ascii="Symbol" w:hAnsi="Symbol" w:hint="default"/>
      </w:rPr>
    </w:lvl>
    <w:lvl w:ilvl="7" w:tplc="74009F4A" w:tentative="1">
      <w:start w:val="1"/>
      <w:numFmt w:val="bullet"/>
      <w:lvlText w:val="o"/>
      <w:lvlJc w:val="left"/>
      <w:pPr>
        <w:tabs>
          <w:tab w:val="num" w:pos="5760"/>
        </w:tabs>
        <w:ind w:left="5760" w:hanging="360"/>
      </w:pPr>
      <w:rPr>
        <w:rFonts w:ascii="Courier New" w:hAnsi="Courier New" w:cs="Courier New" w:hint="default"/>
      </w:rPr>
    </w:lvl>
    <w:lvl w:ilvl="8" w:tplc="47ACFC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D03A4"/>
    <w:multiLevelType w:val="hybridMultilevel"/>
    <w:tmpl w:val="AAE24C16"/>
    <w:lvl w:ilvl="0" w:tplc="2AF0B908">
      <w:start w:val="1"/>
      <w:numFmt w:val="bullet"/>
      <w:lvlText w:val=""/>
      <w:lvlJc w:val="left"/>
      <w:pPr>
        <w:tabs>
          <w:tab w:val="num" w:pos="1174"/>
        </w:tabs>
        <w:ind w:left="1174" w:hanging="360"/>
      </w:pPr>
      <w:rPr>
        <w:rFonts w:ascii="Wingdings" w:hAnsi="Wingdings" w:hint="default"/>
      </w:rPr>
    </w:lvl>
    <w:lvl w:ilvl="1" w:tplc="EE4EB3A2" w:tentative="1">
      <w:start w:val="1"/>
      <w:numFmt w:val="bullet"/>
      <w:lvlText w:val="o"/>
      <w:lvlJc w:val="left"/>
      <w:pPr>
        <w:tabs>
          <w:tab w:val="num" w:pos="1894"/>
        </w:tabs>
        <w:ind w:left="1894" w:hanging="360"/>
      </w:pPr>
      <w:rPr>
        <w:rFonts w:ascii="Courier New" w:hAnsi="Courier New" w:cs="Courier New" w:hint="default"/>
      </w:rPr>
    </w:lvl>
    <w:lvl w:ilvl="2" w:tplc="F6BEA27E" w:tentative="1">
      <w:start w:val="1"/>
      <w:numFmt w:val="bullet"/>
      <w:lvlText w:val=""/>
      <w:lvlJc w:val="left"/>
      <w:pPr>
        <w:tabs>
          <w:tab w:val="num" w:pos="2614"/>
        </w:tabs>
        <w:ind w:left="2614" w:hanging="360"/>
      </w:pPr>
      <w:rPr>
        <w:rFonts w:ascii="Wingdings" w:hAnsi="Wingdings" w:hint="default"/>
      </w:rPr>
    </w:lvl>
    <w:lvl w:ilvl="3" w:tplc="6162567A" w:tentative="1">
      <w:start w:val="1"/>
      <w:numFmt w:val="bullet"/>
      <w:lvlText w:val=""/>
      <w:lvlJc w:val="left"/>
      <w:pPr>
        <w:tabs>
          <w:tab w:val="num" w:pos="3334"/>
        </w:tabs>
        <w:ind w:left="3334" w:hanging="360"/>
      </w:pPr>
      <w:rPr>
        <w:rFonts w:ascii="Symbol" w:hAnsi="Symbol" w:hint="default"/>
      </w:rPr>
    </w:lvl>
    <w:lvl w:ilvl="4" w:tplc="2174D228" w:tentative="1">
      <w:start w:val="1"/>
      <w:numFmt w:val="bullet"/>
      <w:lvlText w:val="o"/>
      <w:lvlJc w:val="left"/>
      <w:pPr>
        <w:tabs>
          <w:tab w:val="num" w:pos="4054"/>
        </w:tabs>
        <w:ind w:left="4054" w:hanging="360"/>
      </w:pPr>
      <w:rPr>
        <w:rFonts w:ascii="Courier New" w:hAnsi="Courier New" w:cs="Courier New" w:hint="default"/>
      </w:rPr>
    </w:lvl>
    <w:lvl w:ilvl="5" w:tplc="EBA6BE48" w:tentative="1">
      <w:start w:val="1"/>
      <w:numFmt w:val="bullet"/>
      <w:lvlText w:val=""/>
      <w:lvlJc w:val="left"/>
      <w:pPr>
        <w:tabs>
          <w:tab w:val="num" w:pos="4774"/>
        </w:tabs>
        <w:ind w:left="4774" w:hanging="360"/>
      </w:pPr>
      <w:rPr>
        <w:rFonts w:ascii="Wingdings" w:hAnsi="Wingdings" w:hint="default"/>
      </w:rPr>
    </w:lvl>
    <w:lvl w:ilvl="6" w:tplc="4DF8A900" w:tentative="1">
      <w:start w:val="1"/>
      <w:numFmt w:val="bullet"/>
      <w:lvlText w:val=""/>
      <w:lvlJc w:val="left"/>
      <w:pPr>
        <w:tabs>
          <w:tab w:val="num" w:pos="5494"/>
        </w:tabs>
        <w:ind w:left="5494" w:hanging="360"/>
      </w:pPr>
      <w:rPr>
        <w:rFonts w:ascii="Symbol" w:hAnsi="Symbol" w:hint="default"/>
      </w:rPr>
    </w:lvl>
    <w:lvl w:ilvl="7" w:tplc="F3D2649E" w:tentative="1">
      <w:start w:val="1"/>
      <w:numFmt w:val="bullet"/>
      <w:lvlText w:val="o"/>
      <w:lvlJc w:val="left"/>
      <w:pPr>
        <w:tabs>
          <w:tab w:val="num" w:pos="6214"/>
        </w:tabs>
        <w:ind w:left="6214" w:hanging="360"/>
      </w:pPr>
      <w:rPr>
        <w:rFonts w:ascii="Courier New" w:hAnsi="Courier New" w:cs="Courier New" w:hint="default"/>
      </w:rPr>
    </w:lvl>
    <w:lvl w:ilvl="8" w:tplc="6DCEFC40"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5" w15:restartNumberingAfterBreak="0">
    <w:nsid w:val="526F327D"/>
    <w:multiLevelType w:val="hybridMultilevel"/>
    <w:tmpl w:val="4C4C6444"/>
    <w:lvl w:ilvl="0" w:tplc="FE5A45BA">
      <w:start w:val="1"/>
      <w:numFmt w:val="bullet"/>
      <w:pStyle w:val="bullet2"/>
      <w:lvlText w:val=""/>
      <w:lvlJc w:val="left"/>
      <w:pPr>
        <w:tabs>
          <w:tab w:val="num" w:pos="992"/>
        </w:tabs>
        <w:ind w:left="992" w:hanging="567"/>
      </w:pPr>
      <w:rPr>
        <w:rFonts w:ascii="Symbol" w:hAnsi="Symbol" w:hint="default"/>
      </w:rPr>
    </w:lvl>
    <w:lvl w:ilvl="1" w:tplc="67800B5A" w:tentative="1">
      <w:start w:val="1"/>
      <w:numFmt w:val="bullet"/>
      <w:lvlText w:val="o"/>
      <w:lvlJc w:val="left"/>
      <w:pPr>
        <w:tabs>
          <w:tab w:val="num" w:pos="1440"/>
        </w:tabs>
        <w:ind w:left="1440" w:hanging="360"/>
      </w:pPr>
      <w:rPr>
        <w:rFonts w:ascii="Courier New" w:hAnsi="Courier New" w:cs="Courier New" w:hint="default"/>
      </w:rPr>
    </w:lvl>
    <w:lvl w:ilvl="2" w:tplc="FB68549E" w:tentative="1">
      <w:start w:val="1"/>
      <w:numFmt w:val="bullet"/>
      <w:lvlText w:val=""/>
      <w:lvlJc w:val="left"/>
      <w:pPr>
        <w:tabs>
          <w:tab w:val="num" w:pos="2160"/>
        </w:tabs>
        <w:ind w:left="2160" w:hanging="360"/>
      </w:pPr>
      <w:rPr>
        <w:rFonts w:ascii="Wingdings" w:hAnsi="Wingdings" w:hint="default"/>
      </w:rPr>
    </w:lvl>
    <w:lvl w:ilvl="3" w:tplc="B5761558" w:tentative="1">
      <w:start w:val="1"/>
      <w:numFmt w:val="bullet"/>
      <w:lvlText w:val=""/>
      <w:lvlJc w:val="left"/>
      <w:pPr>
        <w:tabs>
          <w:tab w:val="num" w:pos="2880"/>
        </w:tabs>
        <w:ind w:left="2880" w:hanging="360"/>
      </w:pPr>
      <w:rPr>
        <w:rFonts w:ascii="Symbol" w:hAnsi="Symbol" w:hint="default"/>
      </w:rPr>
    </w:lvl>
    <w:lvl w:ilvl="4" w:tplc="4C20BC0A" w:tentative="1">
      <w:start w:val="1"/>
      <w:numFmt w:val="bullet"/>
      <w:lvlText w:val="o"/>
      <w:lvlJc w:val="left"/>
      <w:pPr>
        <w:tabs>
          <w:tab w:val="num" w:pos="3600"/>
        </w:tabs>
        <w:ind w:left="3600" w:hanging="360"/>
      </w:pPr>
      <w:rPr>
        <w:rFonts w:ascii="Courier New" w:hAnsi="Courier New" w:cs="Courier New" w:hint="default"/>
      </w:rPr>
    </w:lvl>
    <w:lvl w:ilvl="5" w:tplc="56C2BD4C" w:tentative="1">
      <w:start w:val="1"/>
      <w:numFmt w:val="bullet"/>
      <w:lvlText w:val=""/>
      <w:lvlJc w:val="left"/>
      <w:pPr>
        <w:tabs>
          <w:tab w:val="num" w:pos="4320"/>
        </w:tabs>
        <w:ind w:left="4320" w:hanging="360"/>
      </w:pPr>
      <w:rPr>
        <w:rFonts w:ascii="Wingdings" w:hAnsi="Wingdings" w:hint="default"/>
      </w:rPr>
    </w:lvl>
    <w:lvl w:ilvl="6" w:tplc="AC2EE310" w:tentative="1">
      <w:start w:val="1"/>
      <w:numFmt w:val="bullet"/>
      <w:lvlText w:val=""/>
      <w:lvlJc w:val="left"/>
      <w:pPr>
        <w:tabs>
          <w:tab w:val="num" w:pos="5040"/>
        </w:tabs>
        <w:ind w:left="5040" w:hanging="360"/>
      </w:pPr>
      <w:rPr>
        <w:rFonts w:ascii="Symbol" w:hAnsi="Symbol" w:hint="default"/>
      </w:rPr>
    </w:lvl>
    <w:lvl w:ilvl="7" w:tplc="9626CB44" w:tentative="1">
      <w:start w:val="1"/>
      <w:numFmt w:val="bullet"/>
      <w:lvlText w:val="o"/>
      <w:lvlJc w:val="left"/>
      <w:pPr>
        <w:tabs>
          <w:tab w:val="num" w:pos="5760"/>
        </w:tabs>
        <w:ind w:left="5760" w:hanging="360"/>
      </w:pPr>
      <w:rPr>
        <w:rFonts w:ascii="Courier New" w:hAnsi="Courier New" w:cs="Courier New" w:hint="default"/>
      </w:rPr>
    </w:lvl>
    <w:lvl w:ilvl="8" w:tplc="9DC29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2794B"/>
    <w:multiLevelType w:val="hybridMultilevel"/>
    <w:tmpl w:val="FA4E1E28"/>
    <w:lvl w:ilvl="0" w:tplc="8752BE04">
      <w:start w:val="1"/>
      <w:numFmt w:val="bullet"/>
      <w:lvlText w:val=""/>
      <w:lvlJc w:val="left"/>
      <w:pPr>
        <w:tabs>
          <w:tab w:val="num" w:pos="360"/>
        </w:tabs>
        <w:ind w:left="360" w:hanging="360"/>
      </w:pPr>
      <w:rPr>
        <w:rFonts w:ascii="Wingdings" w:hAnsi="Wingdings" w:hint="default"/>
      </w:rPr>
    </w:lvl>
    <w:lvl w:ilvl="1" w:tplc="2B10899E" w:tentative="1">
      <w:start w:val="1"/>
      <w:numFmt w:val="bullet"/>
      <w:lvlText w:val="o"/>
      <w:lvlJc w:val="left"/>
      <w:pPr>
        <w:tabs>
          <w:tab w:val="num" w:pos="1440"/>
        </w:tabs>
        <w:ind w:left="1440" w:hanging="360"/>
      </w:pPr>
      <w:rPr>
        <w:rFonts w:ascii="Courier New" w:hAnsi="Courier New" w:cs="Courier New" w:hint="default"/>
      </w:rPr>
    </w:lvl>
    <w:lvl w:ilvl="2" w:tplc="DE16ACD8" w:tentative="1">
      <w:start w:val="1"/>
      <w:numFmt w:val="bullet"/>
      <w:lvlText w:val=""/>
      <w:lvlJc w:val="left"/>
      <w:pPr>
        <w:tabs>
          <w:tab w:val="num" w:pos="2160"/>
        </w:tabs>
        <w:ind w:left="2160" w:hanging="360"/>
      </w:pPr>
      <w:rPr>
        <w:rFonts w:ascii="Wingdings" w:hAnsi="Wingdings" w:hint="default"/>
      </w:rPr>
    </w:lvl>
    <w:lvl w:ilvl="3" w:tplc="8F1E13B4" w:tentative="1">
      <w:start w:val="1"/>
      <w:numFmt w:val="bullet"/>
      <w:lvlText w:val=""/>
      <w:lvlJc w:val="left"/>
      <w:pPr>
        <w:tabs>
          <w:tab w:val="num" w:pos="2880"/>
        </w:tabs>
        <w:ind w:left="2880" w:hanging="360"/>
      </w:pPr>
      <w:rPr>
        <w:rFonts w:ascii="Symbol" w:hAnsi="Symbol" w:hint="default"/>
      </w:rPr>
    </w:lvl>
    <w:lvl w:ilvl="4" w:tplc="51661984" w:tentative="1">
      <w:start w:val="1"/>
      <w:numFmt w:val="bullet"/>
      <w:lvlText w:val="o"/>
      <w:lvlJc w:val="left"/>
      <w:pPr>
        <w:tabs>
          <w:tab w:val="num" w:pos="3600"/>
        </w:tabs>
        <w:ind w:left="3600" w:hanging="360"/>
      </w:pPr>
      <w:rPr>
        <w:rFonts w:ascii="Courier New" w:hAnsi="Courier New" w:cs="Courier New" w:hint="default"/>
      </w:rPr>
    </w:lvl>
    <w:lvl w:ilvl="5" w:tplc="40242F2A" w:tentative="1">
      <w:start w:val="1"/>
      <w:numFmt w:val="bullet"/>
      <w:lvlText w:val=""/>
      <w:lvlJc w:val="left"/>
      <w:pPr>
        <w:tabs>
          <w:tab w:val="num" w:pos="4320"/>
        </w:tabs>
        <w:ind w:left="4320" w:hanging="360"/>
      </w:pPr>
      <w:rPr>
        <w:rFonts w:ascii="Wingdings" w:hAnsi="Wingdings" w:hint="default"/>
      </w:rPr>
    </w:lvl>
    <w:lvl w:ilvl="6" w:tplc="CE3EB572" w:tentative="1">
      <w:start w:val="1"/>
      <w:numFmt w:val="bullet"/>
      <w:lvlText w:val=""/>
      <w:lvlJc w:val="left"/>
      <w:pPr>
        <w:tabs>
          <w:tab w:val="num" w:pos="5040"/>
        </w:tabs>
        <w:ind w:left="5040" w:hanging="360"/>
      </w:pPr>
      <w:rPr>
        <w:rFonts w:ascii="Symbol" w:hAnsi="Symbol" w:hint="default"/>
      </w:rPr>
    </w:lvl>
    <w:lvl w:ilvl="7" w:tplc="5F6872C8" w:tentative="1">
      <w:start w:val="1"/>
      <w:numFmt w:val="bullet"/>
      <w:lvlText w:val="o"/>
      <w:lvlJc w:val="left"/>
      <w:pPr>
        <w:tabs>
          <w:tab w:val="num" w:pos="5760"/>
        </w:tabs>
        <w:ind w:left="5760" w:hanging="360"/>
      </w:pPr>
      <w:rPr>
        <w:rFonts w:ascii="Courier New" w:hAnsi="Courier New" w:cs="Courier New" w:hint="default"/>
      </w:rPr>
    </w:lvl>
    <w:lvl w:ilvl="8" w:tplc="F8429CC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B00862"/>
    <w:multiLevelType w:val="hybridMultilevel"/>
    <w:tmpl w:val="9DE4E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457C8"/>
    <w:multiLevelType w:val="hybridMultilevel"/>
    <w:tmpl w:val="9ED86E1A"/>
    <w:lvl w:ilvl="0" w:tplc="8E6A0B5E">
      <w:start w:val="1"/>
      <w:numFmt w:val="bullet"/>
      <w:lvlText w:val=""/>
      <w:lvlJc w:val="left"/>
      <w:pPr>
        <w:tabs>
          <w:tab w:val="num" w:pos="720"/>
        </w:tabs>
        <w:ind w:left="720" w:hanging="360"/>
      </w:pPr>
      <w:rPr>
        <w:rFonts w:ascii="Wingdings" w:hAnsi="Wingdings" w:hint="default"/>
      </w:rPr>
    </w:lvl>
    <w:lvl w:ilvl="1" w:tplc="846A430A" w:tentative="1">
      <w:start w:val="1"/>
      <w:numFmt w:val="bullet"/>
      <w:lvlText w:val="o"/>
      <w:lvlJc w:val="left"/>
      <w:pPr>
        <w:tabs>
          <w:tab w:val="num" w:pos="1440"/>
        </w:tabs>
        <w:ind w:left="1440" w:hanging="360"/>
      </w:pPr>
      <w:rPr>
        <w:rFonts w:ascii="Courier New" w:hAnsi="Courier New" w:cs="Courier New" w:hint="default"/>
      </w:rPr>
    </w:lvl>
    <w:lvl w:ilvl="2" w:tplc="3572B7AC" w:tentative="1">
      <w:start w:val="1"/>
      <w:numFmt w:val="bullet"/>
      <w:lvlText w:val=""/>
      <w:lvlJc w:val="left"/>
      <w:pPr>
        <w:tabs>
          <w:tab w:val="num" w:pos="2160"/>
        </w:tabs>
        <w:ind w:left="2160" w:hanging="360"/>
      </w:pPr>
      <w:rPr>
        <w:rFonts w:ascii="Wingdings" w:hAnsi="Wingdings" w:hint="default"/>
      </w:rPr>
    </w:lvl>
    <w:lvl w:ilvl="3" w:tplc="E926EF7C" w:tentative="1">
      <w:start w:val="1"/>
      <w:numFmt w:val="bullet"/>
      <w:lvlText w:val=""/>
      <w:lvlJc w:val="left"/>
      <w:pPr>
        <w:tabs>
          <w:tab w:val="num" w:pos="2880"/>
        </w:tabs>
        <w:ind w:left="2880" w:hanging="360"/>
      </w:pPr>
      <w:rPr>
        <w:rFonts w:ascii="Symbol" w:hAnsi="Symbol" w:hint="default"/>
      </w:rPr>
    </w:lvl>
    <w:lvl w:ilvl="4" w:tplc="F0CA2014" w:tentative="1">
      <w:start w:val="1"/>
      <w:numFmt w:val="bullet"/>
      <w:lvlText w:val="o"/>
      <w:lvlJc w:val="left"/>
      <w:pPr>
        <w:tabs>
          <w:tab w:val="num" w:pos="3600"/>
        </w:tabs>
        <w:ind w:left="3600" w:hanging="360"/>
      </w:pPr>
      <w:rPr>
        <w:rFonts w:ascii="Courier New" w:hAnsi="Courier New" w:cs="Courier New" w:hint="default"/>
      </w:rPr>
    </w:lvl>
    <w:lvl w:ilvl="5" w:tplc="1B5264C8" w:tentative="1">
      <w:start w:val="1"/>
      <w:numFmt w:val="bullet"/>
      <w:lvlText w:val=""/>
      <w:lvlJc w:val="left"/>
      <w:pPr>
        <w:tabs>
          <w:tab w:val="num" w:pos="4320"/>
        </w:tabs>
        <w:ind w:left="4320" w:hanging="360"/>
      </w:pPr>
      <w:rPr>
        <w:rFonts w:ascii="Wingdings" w:hAnsi="Wingdings" w:hint="default"/>
      </w:rPr>
    </w:lvl>
    <w:lvl w:ilvl="6" w:tplc="D3F0549C" w:tentative="1">
      <w:start w:val="1"/>
      <w:numFmt w:val="bullet"/>
      <w:lvlText w:val=""/>
      <w:lvlJc w:val="left"/>
      <w:pPr>
        <w:tabs>
          <w:tab w:val="num" w:pos="5040"/>
        </w:tabs>
        <w:ind w:left="5040" w:hanging="360"/>
      </w:pPr>
      <w:rPr>
        <w:rFonts w:ascii="Symbol" w:hAnsi="Symbol" w:hint="default"/>
      </w:rPr>
    </w:lvl>
    <w:lvl w:ilvl="7" w:tplc="73AC1172" w:tentative="1">
      <w:start w:val="1"/>
      <w:numFmt w:val="bullet"/>
      <w:lvlText w:val="o"/>
      <w:lvlJc w:val="left"/>
      <w:pPr>
        <w:tabs>
          <w:tab w:val="num" w:pos="5760"/>
        </w:tabs>
        <w:ind w:left="5760" w:hanging="360"/>
      </w:pPr>
      <w:rPr>
        <w:rFonts w:ascii="Courier New" w:hAnsi="Courier New" w:cs="Courier New" w:hint="default"/>
      </w:rPr>
    </w:lvl>
    <w:lvl w:ilvl="8" w:tplc="B2DC57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54E61"/>
    <w:multiLevelType w:val="multilevel"/>
    <w:tmpl w:val="525C1F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D04878"/>
    <w:multiLevelType w:val="multilevel"/>
    <w:tmpl w:val="141CC4E6"/>
    <w:lvl w:ilvl="0">
      <w:start w:val="1"/>
      <w:numFmt w:val="decimal"/>
      <w:pStyle w:val="ListNumbers"/>
      <w:lvlText w:val="%1."/>
      <w:lvlJc w:val="left"/>
      <w:pPr>
        <w:tabs>
          <w:tab w:val="num" w:pos="680"/>
        </w:tabs>
        <w:ind w:left="0" w:firstLine="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2"/>
  </w:num>
  <w:num w:numId="3">
    <w:abstractNumId w:val="11"/>
  </w:num>
  <w:num w:numId="4">
    <w:abstractNumId w:val="2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16"/>
  </w:num>
  <w:num w:numId="19">
    <w:abstractNumId w:val="14"/>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doNotTrackMoves/>
  <w:doNotTrackFormatting/>
  <w:defaultTabStop w:val="720"/>
  <w:hyphenationZone w:val="680"/>
  <w:drawingGridHorizontalSpacing w:val="110"/>
  <w:drawingGridVerticalSpacing w:val="120"/>
  <w:displayHorizontalDrawingGridEvery w:val="0"/>
  <w:displayVerticalDrawingGridEvery w:val="3"/>
  <w:doNotShadeFormData/>
  <w:characterSpacingControl w:val="compressPunctuation"/>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0D"/>
    <w:rsid w:val="0000608B"/>
    <w:rsid w:val="00032E2D"/>
    <w:rsid w:val="00040B61"/>
    <w:rsid w:val="00082564"/>
    <w:rsid w:val="000869C1"/>
    <w:rsid w:val="00090974"/>
    <w:rsid w:val="00094DB8"/>
    <w:rsid w:val="000A31AD"/>
    <w:rsid w:val="000A6855"/>
    <w:rsid w:val="000B53B8"/>
    <w:rsid w:val="000C3C68"/>
    <w:rsid w:val="000D313F"/>
    <w:rsid w:val="000E1133"/>
    <w:rsid w:val="000E5B04"/>
    <w:rsid w:val="000E7EA3"/>
    <w:rsid w:val="000F0970"/>
    <w:rsid w:val="0010410D"/>
    <w:rsid w:val="00114C53"/>
    <w:rsid w:val="00123F31"/>
    <w:rsid w:val="0012688C"/>
    <w:rsid w:val="001325DB"/>
    <w:rsid w:val="00146C7C"/>
    <w:rsid w:val="00152C7B"/>
    <w:rsid w:val="00164E5E"/>
    <w:rsid w:val="00165DCC"/>
    <w:rsid w:val="001751D7"/>
    <w:rsid w:val="00176480"/>
    <w:rsid w:val="001905A1"/>
    <w:rsid w:val="001A3172"/>
    <w:rsid w:val="001A44EC"/>
    <w:rsid w:val="001C0944"/>
    <w:rsid w:val="001C2015"/>
    <w:rsid w:val="001C75C8"/>
    <w:rsid w:val="001D7255"/>
    <w:rsid w:val="001E7FC4"/>
    <w:rsid w:val="00200547"/>
    <w:rsid w:val="00210EFF"/>
    <w:rsid w:val="00213FAC"/>
    <w:rsid w:val="00217204"/>
    <w:rsid w:val="00231ABD"/>
    <w:rsid w:val="00240CC4"/>
    <w:rsid w:val="00250501"/>
    <w:rsid w:val="002512C2"/>
    <w:rsid w:val="0026332D"/>
    <w:rsid w:val="00281AAC"/>
    <w:rsid w:val="002B1DCC"/>
    <w:rsid w:val="002D4C87"/>
    <w:rsid w:val="002F5346"/>
    <w:rsid w:val="0030368F"/>
    <w:rsid w:val="0030451C"/>
    <w:rsid w:val="00304608"/>
    <w:rsid w:val="00317BE7"/>
    <w:rsid w:val="00323F69"/>
    <w:rsid w:val="0033228F"/>
    <w:rsid w:val="00334D95"/>
    <w:rsid w:val="00337E7D"/>
    <w:rsid w:val="00342CA5"/>
    <w:rsid w:val="00374C3A"/>
    <w:rsid w:val="003751C3"/>
    <w:rsid w:val="00391F7C"/>
    <w:rsid w:val="003C0D7C"/>
    <w:rsid w:val="003D3005"/>
    <w:rsid w:val="003F5BC6"/>
    <w:rsid w:val="004034EA"/>
    <w:rsid w:val="00406CCB"/>
    <w:rsid w:val="004102D4"/>
    <w:rsid w:val="00437D18"/>
    <w:rsid w:val="0045313F"/>
    <w:rsid w:val="00457508"/>
    <w:rsid w:val="0047407B"/>
    <w:rsid w:val="00477CBE"/>
    <w:rsid w:val="0048729C"/>
    <w:rsid w:val="0049408C"/>
    <w:rsid w:val="00497364"/>
    <w:rsid w:val="004A04D9"/>
    <w:rsid w:val="004A11DF"/>
    <w:rsid w:val="004A7F58"/>
    <w:rsid w:val="004B20AF"/>
    <w:rsid w:val="004B45E8"/>
    <w:rsid w:val="004C5FD8"/>
    <w:rsid w:val="004D6DB7"/>
    <w:rsid w:val="004D76FB"/>
    <w:rsid w:val="004E081A"/>
    <w:rsid w:val="004F6271"/>
    <w:rsid w:val="004F79BF"/>
    <w:rsid w:val="00505294"/>
    <w:rsid w:val="005070A1"/>
    <w:rsid w:val="00521D07"/>
    <w:rsid w:val="0053317C"/>
    <w:rsid w:val="00533F22"/>
    <w:rsid w:val="00557A1E"/>
    <w:rsid w:val="00567418"/>
    <w:rsid w:val="00570FE5"/>
    <w:rsid w:val="0057604A"/>
    <w:rsid w:val="00582573"/>
    <w:rsid w:val="00586D70"/>
    <w:rsid w:val="00593EF4"/>
    <w:rsid w:val="00597573"/>
    <w:rsid w:val="00597F72"/>
    <w:rsid w:val="005A390B"/>
    <w:rsid w:val="005A75B2"/>
    <w:rsid w:val="005B31B3"/>
    <w:rsid w:val="005B44BB"/>
    <w:rsid w:val="005D0783"/>
    <w:rsid w:val="005D63C1"/>
    <w:rsid w:val="005D65AF"/>
    <w:rsid w:val="005D76B7"/>
    <w:rsid w:val="005E3008"/>
    <w:rsid w:val="00604C42"/>
    <w:rsid w:val="00614F71"/>
    <w:rsid w:val="00625DDC"/>
    <w:rsid w:val="00627E2D"/>
    <w:rsid w:val="00632DE1"/>
    <w:rsid w:val="00640848"/>
    <w:rsid w:val="00645107"/>
    <w:rsid w:val="006454CF"/>
    <w:rsid w:val="00676313"/>
    <w:rsid w:val="00690D73"/>
    <w:rsid w:val="00695B4A"/>
    <w:rsid w:val="006A0942"/>
    <w:rsid w:val="006A40D9"/>
    <w:rsid w:val="006A6335"/>
    <w:rsid w:val="006B54DC"/>
    <w:rsid w:val="006C4696"/>
    <w:rsid w:val="006D26D3"/>
    <w:rsid w:val="006E12ED"/>
    <w:rsid w:val="006E14CF"/>
    <w:rsid w:val="006E1B70"/>
    <w:rsid w:val="006E28A5"/>
    <w:rsid w:val="006E3BFF"/>
    <w:rsid w:val="006E4B30"/>
    <w:rsid w:val="006F3423"/>
    <w:rsid w:val="00724123"/>
    <w:rsid w:val="0072760F"/>
    <w:rsid w:val="007336EF"/>
    <w:rsid w:val="007700DB"/>
    <w:rsid w:val="00771BD2"/>
    <w:rsid w:val="00774420"/>
    <w:rsid w:val="00774C13"/>
    <w:rsid w:val="0078188E"/>
    <w:rsid w:val="00790361"/>
    <w:rsid w:val="007934AC"/>
    <w:rsid w:val="007B25B0"/>
    <w:rsid w:val="007C25EB"/>
    <w:rsid w:val="007D246C"/>
    <w:rsid w:val="007D50E9"/>
    <w:rsid w:val="007E2D22"/>
    <w:rsid w:val="007E3C4E"/>
    <w:rsid w:val="007E7F87"/>
    <w:rsid w:val="007F3685"/>
    <w:rsid w:val="007F3ACF"/>
    <w:rsid w:val="008052A1"/>
    <w:rsid w:val="00805A13"/>
    <w:rsid w:val="008202D4"/>
    <w:rsid w:val="00820983"/>
    <w:rsid w:val="008217C6"/>
    <w:rsid w:val="00845DB5"/>
    <w:rsid w:val="00852F0B"/>
    <w:rsid w:val="00856779"/>
    <w:rsid w:val="00860144"/>
    <w:rsid w:val="00865CD1"/>
    <w:rsid w:val="008710B6"/>
    <w:rsid w:val="008722B4"/>
    <w:rsid w:val="00875E24"/>
    <w:rsid w:val="008A0E4A"/>
    <w:rsid w:val="008C15EE"/>
    <w:rsid w:val="008C58E3"/>
    <w:rsid w:val="008C794D"/>
    <w:rsid w:val="008D361D"/>
    <w:rsid w:val="008D5768"/>
    <w:rsid w:val="008D7141"/>
    <w:rsid w:val="008E05D2"/>
    <w:rsid w:val="008F68E3"/>
    <w:rsid w:val="00902C8B"/>
    <w:rsid w:val="009052E9"/>
    <w:rsid w:val="00912728"/>
    <w:rsid w:val="00924F83"/>
    <w:rsid w:val="0094340E"/>
    <w:rsid w:val="0094565E"/>
    <w:rsid w:val="00955335"/>
    <w:rsid w:val="00962E88"/>
    <w:rsid w:val="0098729C"/>
    <w:rsid w:val="009A2D89"/>
    <w:rsid w:val="009A4D18"/>
    <w:rsid w:val="009C37CC"/>
    <w:rsid w:val="009D21D0"/>
    <w:rsid w:val="009E023A"/>
    <w:rsid w:val="009E0A4E"/>
    <w:rsid w:val="009E5068"/>
    <w:rsid w:val="009E6B72"/>
    <w:rsid w:val="009F2987"/>
    <w:rsid w:val="00A02EB6"/>
    <w:rsid w:val="00A446D7"/>
    <w:rsid w:val="00A75729"/>
    <w:rsid w:val="00A84C4D"/>
    <w:rsid w:val="00A86EAE"/>
    <w:rsid w:val="00A91364"/>
    <w:rsid w:val="00AA3112"/>
    <w:rsid w:val="00AC0779"/>
    <w:rsid w:val="00AC1BFB"/>
    <w:rsid w:val="00AC7942"/>
    <w:rsid w:val="00AE46C8"/>
    <w:rsid w:val="00B10160"/>
    <w:rsid w:val="00B265E0"/>
    <w:rsid w:val="00B368AD"/>
    <w:rsid w:val="00B4375A"/>
    <w:rsid w:val="00B56ABC"/>
    <w:rsid w:val="00B61CFA"/>
    <w:rsid w:val="00B62CC8"/>
    <w:rsid w:val="00B64208"/>
    <w:rsid w:val="00B73F84"/>
    <w:rsid w:val="00B81CB6"/>
    <w:rsid w:val="00B82023"/>
    <w:rsid w:val="00B848BB"/>
    <w:rsid w:val="00BB06AC"/>
    <w:rsid w:val="00BB538F"/>
    <w:rsid w:val="00BC0A1F"/>
    <w:rsid w:val="00BF14A4"/>
    <w:rsid w:val="00C06B79"/>
    <w:rsid w:val="00C073F9"/>
    <w:rsid w:val="00C1274A"/>
    <w:rsid w:val="00C249BE"/>
    <w:rsid w:val="00C36A47"/>
    <w:rsid w:val="00C36BBC"/>
    <w:rsid w:val="00C42262"/>
    <w:rsid w:val="00C4786A"/>
    <w:rsid w:val="00C55622"/>
    <w:rsid w:val="00C633BF"/>
    <w:rsid w:val="00C808BA"/>
    <w:rsid w:val="00C80A61"/>
    <w:rsid w:val="00C8363C"/>
    <w:rsid w:val="00C86EAC"/>
    <w:rsid w:val="00C91A45"/>
    <w:rsid w:val="00C94077"/>
    <w:rsid w:val="00C94AE7"/>
    <w:rsid w:val="00CA422B"/>
    <w:rsid w:val="00CA4923"/>
    <w:rsid w:val="00CC10E8"/>
    <w:rsid w:val="00CC4C94"/>
    <w:rsid w:val="00CC542E"/>
    <w:rsid w:val="00CC612B"/>
    <w:rsid w:val="00CF1825"/>
    <w:rsid w:val="00CF5126"/>
    <w:rsid w:val="00CF6B00"/>
    <w:rsid w:val="00D04F6F"/>
    <w:rsid w:val="00D07747"/>
    <w:rsid w:val="00D11478"/>
    <w:rsid w:val="00D16B8A"/>
    <w:rsid w:val="00D178FE"/>
    <w:rsid w:val="00D214F8"/>
    <w:rsid w:val="00D23F4A"/>
    <w:rsid w:val="00D26EAD"/>
    <w:rsid w:val="00D379EC"/>
    <w:rsid w:val="00D549F8"/>
    <w:rsid w:val="00D666D5"/>
    <w:rsid w:val="00D716B7"/>
    <w:rsid w:val="00D84F76"/>
    <w:rsid w:val="00D8645F"/>
    <w:rsid w:val="00D87232"/>
    <w:rsid w:val="00D93CCB"/>
    <w:rsid w:val="00DA2C52"/>
    <w:rsid w:val="00DB10C2"/>
    <w:rsid w:val="00DB4B33"/>
    <w:rsid w:val="00DD6267"/>
    <w:rsid w:val="00DD7073"/>
    <w:rsid w:val="00DF0EFC"/>
    <w:rsid w:val="00DF2FD3"/>
    <w:rsid w:val="00DF555F"/>
    <w:rsid w:val="00E049EC"/>
    <w:rsid w:val="00E12294"/>
    <w:rsid w:val="00E267E9"/>
    <w:rsid w:val="00E30FEE"/>
    <w:rsid w:val="00E32E47"/>
    <w:rsid w:val="00E346B0"/>
    <w:rsid w:val="00E47187"/>
    <w:rsid w:val="00E47FB1"/>
    <w:rsid w:val="00E51592"/>
    <w:rsid w:val="00E742C3"/>
    <w:rsid w:val="00E86353"/>
    <w:rsid w:val="00EA567D"/>
    <w:rsid w:val="00ED4648"/>
    <w:rsid w:val="00EE3164"/>
    <w:rsid w:val="00EE6D65"/>
    <w:rsid w:val="00F060C4"/>
    <w:rsid w:val="00F24912"/>
    <w:rsid w:val="00F25E99"/>
    <w:rsid w:val="00F322DC"/>
    <w:rsid w:val="00F36033"/>
    <w:rsid w:val="00F37B64"/>
    <w:rsid w:val="00F43CC8"/>
    <w:rsid w:val="00F61468"/>
    <w:rsid w:val="00F721C2"/>
    <w:rsid w:val="00F93AA8"/>
    <w:rsid w:val="00FA79ED"/>
    <w:rsid w:val="00FC62F8"/>
    <w:rsid w:val="00FD21A3"/>
    <w:rsid w:val="00FD513C"/>
    <w:rsid w:val="00FE17D3"/>
    <w:rsid w:val="00FE65C7"/>
    <w:rsid w:val="00FF38C2"/>
  </w:rsids>
  <m:mathPr>
    <m:mathFont m:val="Cambria Math"/>
    <m:brkBin m:val="before"/>
    <m:brkBinSub m:val="--"/>
    <m:smallFrac m:val="0"/>
    <m:dispDef/>
    <m:lMargin m:val="0"/>
    <m:rMargin m:val="0"/>
    <m:defJc m:val="centerGroup"/>
    <m:wrapRight/>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3EF3EE50"/>
  <w15:docId w15:val="{CAF1B146-EAF9-451D-AACF-6D10C1BB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GB" w:eastAsia="zh-CN" w:bidi="hi-IN"/>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line="360" w:lineRule="atLeast"/>
      <w:jc w:val="both"/>
    </w:pPr>
    <w:rPr>
      <w:rFonts w:ascii="PMingLiU" w:hAnsi="Times" w:cs="PMingLiU"/>
      <w:color w:val="000000"/>
      <w:sz w:val="22"/>
      <w:szCs w:val="22"/>
      <w:lang w:val="en-US"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表內文"/>
    <w:basedOn w:val="Normal"/>
    <w:pPr>
      <w:spacing w:line="240" w:lineRule="atLeast"/>
    </w:pPr>
    <w:rPr>
      <w:color w:val="auto"/>
      <w:sz w:val="18"/>
      <w:szCs w:val="18"/>
    </w:rPr>
  </w:style>
  <w:style w:type="paragraph" w:customStyle="1" w:styleId="12L">
    <w:name w:val="1/2L"/>
    <w:basedOn w:val="Normal"/>
    <w:uiPriority w:val="99"/>
    <w:pPr>
      <w:spacing w:line="200" w:lineRule="atLeast"/>
    </w:pPr>
    <w:rPr>
      <w:color w:val="auto"/>
    </w:rPr>
  </w:style>
  <w:style w:type="paragraph" w:customStyle="1" w:styleId="a0">
    <w:name w:val="附註內文"/>
    <w:pPr>
      <w:widowControl w:val="0"/>
      <w:autoSpaceDE w:val="0"/>
      <w:autoSpaceDN w:val="0"/>
      <w:adjustRightInd w:val="0"/>
      <w:spacing w:line="300" w:lineRule="atLeast"/>
      <w:jc w:val="both"/>
    </w:pPr>
    <w:rPr>
      <w:rFonts w:ascii="PMingLiU" w:hAnsi="Times" w:cs="PMingLiU"/>
      <w:lang w:val="en-US" w:eastAsia="zh-TW" w:bidi="ar-SA"/>
    </w:rPr>
  </w:style>
  <w:style w:type="paragraph" w:styleId="Title">
    <w:name w:val="Title"/>
    <w:basedOn w:val="Normal"/>
    <w:next w:val="Normal"/>
    <w:link w:val="TitleChar"/>
    <w:uiPriority w:val="99"/>
    <w:qFormat/>
    <w:rPr>
      <w:rFonts w:ascii="MingLiU" w:eastAsia="MingLiU" w:cs="MingLiU"/>
      <w:color w:val="auto"/>
      <w:sz w:val="24"/>
      <w:szCs w:val="24"/>
    </w:rPr>
  </w:style>
  <w:style w:type="character" w:customStyle="1" w:styleId="TitleChar">
    <w:name w:val="Title Char"/>
    <w:link w:val="Title"/>
    <w:uiPriority w:val="10"/>
    <w:rPr>
      <w:rFonts w:ascii="Cambria" w:eastAsia="PMingLiU" w:hAnsi="Cambria" w:cs="Times New Roman"/>
      <w:b/>
      <w:bCs/>
      <w:sz w:val="32"/>
      <w:szCs w:val="32"/>
    </w:rPr>
  </w:style>
  <w:style w:type="paragraph" w:customStyle="1" w:styleId="a1">
    <w:name w:val="主標題"/>
    <w:basedOn w:val="Normal"/>
    <w:uiPriority w:val="99"/>
    <w:pPr>
      <w:jc w:val="center"/>
    </w:pPr>
    <w:rPr>
      <w:rFonts w:ascii="MingLiU" w:eastAsia="MingLiU" w:cs="MingLiU"/>
      <w:color w:val="auto"/>
      <w:sz w:val="28"/>
      <w:szCs w:val="28"/>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character" w:customStyle="1" w:styleId="HeaderChar">
    <w:name w:val="Header Char"/>
    <w:link w:val="Header"/>
    <w:uiPriority w:val="99"/>
    <w:rPr>
      <w:rFonts w:ascii="PMingLiU" w:eastAsia="PMingLiU" w:hAnsi="Times" w:cs="PMingLiU"/>
      <w:color w:val="000000"/>
      <w:kern w:val="0"/>
      <w:sz w:val="20"/>
      <w:szCs w:val="20"/>
    </w:rPr>
  </w:style>
  <w:style w:type="paragraph" w:styleId="Footer">
    <w:name w:val="footer"/>
    <w:basedOn w:val="Normal"/>
    <w:link w:val="FooterChar"/>
    <w:unhideWhenUsed/>
    <w:pPr>
      <w:tabs>
        <w:tab w:val="center" w:pos="4153"/>
        <w:tab w:val="right" w:pos="8306"/>
      </w:tabs>
      <w:snapToGrid w:val="0"/>
    </w:pPr>
    <w:rPr>
      <w:sz w:val="20"/>
      <w:szCs w:val="20"/>
    </w:rPr>
  </w:style>
  <w:style w:type="character" w:customStyle="1" w:styleId="FooterChar">
    <w:name w:val="Footer Char"/>
    <w:link w:val="Footer"/>
    <w:uiPriority w:val="99"/>
    <w:rPr>
      <w:rFonts w:ascii="PMingLiU" w:eastAsia="PMingLiU" w:hAnsi="Times" w:cs="PMingLiU"/>
      <w:color w:val="000000"/>
      <w:kern w:val="0"/>
      <w:sz w:val="20"/>
      <w:szCs w:val="20"/>
    </w:rPr>
  </w:style>
  <w:style w:type="character" w:styleId="PageNumber">
    <w:name w:val="page number"/>
    <w:basedOn w:val="DefaultParagraphFont"/>
    <w:unhideWhenUsed/>
  </w:style>
  <w:style w:type="paragraph" w:customStyle="1" w:styleId="Body">
    <w:name w:val="Body"/>
    <w:basedOn w:val="Normal"/>
    <w:link w:val="BodyChar"/>
    <w:pPr>
      <w:widowControl/>
      <w:autoSpaceDE/>
      <w:autoSpaceDN/>
      <w:adjustRightInd/>
      <w:spacing w:after="140" w:line="290" w:lineRule="auto"/>
    </w:pPr>
    <w:rPr>
      <w:rFonts w:ascii="Arial" w:hAnsi="Arial" w:cs="Times New Roman"/>
      <w:color w:val="auto"/>
      <w:kern w:val="20"/>
      <w:sz w:val="20"/>
      <w:szCs w:val="24"/>
      <w:lang w:eastAsia="en-US"/>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s">
    <w:name w:val="List Numbers"/>
    <w:basedOn w:val="Normal"/>
    <w:pPr>
      <w:widowControl/>
      <w:numPr>
        <w:numId w:val="4"/>
      </w:numPr>
      <w:autoSpaceDE/>
      <w:autoSpaceDN/>
      <w:adjustRightInd/>
      <w:spacing w:after="140" w:line="290" w:lineRule="auto"/>
      <w:outlineLvl w:val="0"/>
    </w:pPr>
    <w:rPr>
      <w:rFonts w:ascii="Arial" w:hAnsi="Arial" w:cs="Times New Roman"/>
      <w:color w:val="auto"/>
      <w:kern w:val="20"/>
      <w:sz w:val="20"/>
      <w:szCs w:val="24"/>
      <w:lang w:eastAsia="en-US"/>
    </w:rPr>
  </w:style>
  <w:style w:type="paragraph" w:styleId="Salutation">
    <w:name w:val="Salutation"/>
    <w:basedOn w:val="Normal"/>
    <w:next w:val="Normal"/>
    <w:rPr>
      <w:color w:val="auto"/>
      <w:sz w:val="24"/>
      <w:szCs w:val="24"/>
    </w:rPr>
  </w:style>
  <w:style w:type="paragraph" w:styleId="Closing">
    <w:name w:val="Closing"/>
    <w:basedOn w:val="Normal"/>
    <w:pPr>
      <w:ind w:left="4320"/>
    </w:pPr>
    <w:rPr>
      <w:color w:val="auto"/>
      <w:sz w:val="24"/>
      <w:szCs w:val="24"/>
    </w:rPr>
  </w:style>
  <w:style w:type="paragraph" w:styleId="Date">
    <w:name w:val="Date"/>
    <w:basedOn w:val="Normal"/>
    <w:next w:val="Normal"/>
  </w:style>
  <w:style w:type="paragraph" w:customStyle="1" w:styleId="Head">
    <w:name w:val="Head"/>
    <w:basedOn w:val="Normal"/>
    <w:next w:val="Body"/>
    <w:pPr>
      <w:keepNext/>
      <w:widowControl/>
      <w:autoSpaceDE/>
      <w:autoSpaceDN/>
      <w:adjustRightInd/>
      <w:spacing w:before="295" w:after="175" w:line="290" w:lineRule="auto"/>
      <w:ind w:left="425"/>
      <w:outlineLvl w:val="0"/>
    </w:pPr>
    <w:rPr>
      <w:rFonts w:ascii="Times New Roman" w:eastAsia="Times New Roman" w:hAnsi="Times New Roman" w:cs="Times New Roman"/>
      <w:b/>
      <w:color w:val="auto"/>
      <w:kern w:val="20"/>
      <w:szCs w:val="20"/>
      <w:lang w:val="en-GB" w:eastAsia="en-US"/>
    </w:rPr>
  </w:style>
  <w:style w:type="paragraph" w:customStyle="1" w:styleId="bullet2">
    <w:name w:val="bullet 2"/>
    <w:basedOn w:val="Normal"/>
    <w:pPr>
      <w:widowControl/>
      <w:numPr>
        <w:numId w:val="16"/>
      </w:numPr>
      <w:autoSpaceDE/>
      <w:autoSpaceDN/>
      <w:adjustRightInd/>
      <w:spacing w:after="140" w:line="290" w:lineRule="auto"/>
    </w:pPr>
    <w:rPr>
      <w:rFonts w:ascii="Times New Roman" w:eastAsia="Times New Roman" w:hAnsi="Times New Roman" w:cs="Times New Roman"/>
      <w:color w:val="auto"/>
      <w:kern w:val="20"/>
      <w:sz w:val="20"/>
      <w:szCs w:val="20"/>
      <w:lang w:val="en-GB" w:eastAsia="en-US"/>
    </w:rPr>
  </w:style>
  <w:style w:type="character" w:customStyle="1" w:styleId="BodyChar">
    <w:name w:val="Body Char"/>
    <w:link w:val="Body"/>
    <w:rPr>
      <w:rFonts w:ascii="Arial" w:eastAsia="PMingLiU" w:hAnsi="Arial"/>
      <w:kern w:val="20"/>
      <w:szCs w:val="24"/>
      <w:lang w:val="en-US" w:eastAsia="en-US" w:bidi="ar-SA"/>
    </w:rPr>
  </w:style>
  <w:style w:type="paragraph" w:styleId="FootnoteText">
    <w:name w:val="footnote text"/>
    <w:basedOn w:val="Normal"/>
    <w:semiHidden/>
    <w:pPr>
      <w:widowControl/>
      <w:autoSpaceDE/>
      <w:autoSpaceDN/>
      <w:adjustRightInd/>
      <w:spacing w:line="240" w:lineRule="auto"/>
    </w:pPr>
    <w:rPr>
      <w:rFonts w:ascii="Times New Roman" w:hAnsi="Times New Roman" w:cs="Times New Roman"/>
      <w:color w:val="auto"/>
      <w:sz w:val="24"/>
      <w:szCs w:val="20"/>
      <w:lang w:val="en-GB"/>
    </w:rPr>
  </w:style>
  <w:style w:type="paragraph" w:styleId="NoteHeading">
    <w:name w:val="Note Heading"/>
    <w:basedOn w:val="Normal"/>
    <w:next w:val="Normal"/>
    <w:pPr>
      <w:widowControl/>
      <w:autoSpaceDE/>
      <w:autoSpaceDN/>
      <w:adjustRightInd/>
      <w:spacing w:line="240" w:lineRule="auto"/>
      <w:jc w:val="center"/>
    </w:pPr>
    <w:rPr>
      <w:rFonts w:ascii="Times New Roman" w:hAnsi="Times New Roman" w:cs="Times New Roman"/>
      <w:color w:val="auto"/>
      <w:sz w:val="24"/>
      <w:szCs w:val="20"/>
      <w:lang w:val="en-GB"/>
    </w:rPr>
  </w:style>
  <w:style w:type="paragraph" w:customStyle="1" w:styleId="SubHead">
    <w:name w:val="SubHead"/>
    <w:basedOn w:val="Normal"/>
    <w:next w:val="Body"/>
    <w:pPr>
      <w:keepNext/>
      <w:widowControl/>
      <w:autoSpaceDE/>
      <w:autoSpaceDN/>
      <w:adjustRightInd/>
      <w:spacing w:before="120" w:after="60" w:line="290" w:lineRule="auto"/>
      <w:outlineLvl w:val="0"/>
    </w:pPr>
    <w:rPr>
      <w:rFonts w:ascii="Arial" w:eastAsia="SimHei" w:hAnsi="Arial" w:cs="Times New Roman"/>
      <w:b/>
      <w:color w:val="auto"/>
      <w:kern w:val="21"/>
      <w:sz w:val="21"/>
      <w:szCs w:val="24"/>
      <w:lang w:val="en-GB" w:eastAsia="en-US"/>
    </w:rPr>
  </w:style>
  <w:style w:type="paragraph" w:customStyle="1" w:styleId="DocExCode">
    <w:name w:val="DocExCode"/>
    <w:basedOn w:val="Normal"/>
    <w:pPr>
      <w:widowControl/>
      <w:pBdr>
        <w:top w:val="single" w:sz="4" w:space="1" w:color="auto"/>
      </w:pBdr>
      <w:autoSpaceDE/>
      <w:autoSpaceDN/>
      <w:adjustRightInd/>
      <w:spacing w:line="240" w:lineRule="auto"/>
      <w:jc w:val="left"/>
    </w:pPr>
    <w:rPr>
      <w:rFonts w:ascii="Arial" w:hAnsi="Arial" w:cs="Times New Roman"/>
      <w:color w:val="auto"/>
      <w:kern w:val="20"/>
      <w:sz w:val="16"/>
      <w:szCs w:val="24"/>
      <w:lang w:val="en-GB" w:eastAsia="en-US"/>
    </w:rPr>
  </w:style>
  <w:style w:type="paragraph" w:customStyle="1" w:styleId="alpha1">
    <w:name w:val="alpha 1"/>
    <w:basedOn w:val="Normal"/>
    <w:rsid w:val="004D45AE"/>
    <w:pPr>
      <w:widowControl/>
      <w:numPr>
        <w:numId w:val="19"/>
      </w:numPr>
      <w:autoSpaceDE/>
      <w:autoSpaceDN/>
      <w:adjustRightInd/>
      <w:spacing w:after="140" w:line="290" w:lineRule="auto"/>
    </w:pPr>
    <w:rPr>
      <w:rFonts w:ascii="Arial" w:eastAsia="Times New Roman" w:hAnsi="Arial" w:cs="Times New Roman"/>
      <w:color w:val="auto"/>
      <w:kern w:val="20"/>
      <w:sz w:val="20"/>
      <w:szCs w:val="20"/>
      <w:lang w:val="en-GB" w:eastAsia="en-GB"/>
    </w:rPr>
  </w:style>
  <w:style w:type="paragraph" w:customStyle="1" w:styleId="Level1">
    <w:name w:val="Level 1"/>
    <w:basedOn w:val="Normal"/>
    <w:next w:val="Normal"/>
    <w:rsid w:val="00C94077"/>
    <w:pPr>
      <w:keepNext/>
      <w:widowControl/>
      <w:numPr>
        <w:numId w:val="20"/>
      </w:numPr>
      <w:autoSpaceDE/>
      <w:autoSpaceDN/>
      <w:adjustRightInd/>
      <w:spacing w:before="140" w:after="140" w:line="290" w:lineRule="auto"/>
      <w:outlineLvl w:val="0"/>
    </w:pPr>
    <w:rPr>
      <w:rFonts w:ascii="Arial" w:eastAsia="SimSun" w:hAnsi="Arial" w:cs="Times New Roman"/>
      <w:b/>
      <w:color w:val="auto"/>
      <w:kern w:val="20"/>
      <w:szCs w:val="20"/>
      <w:lang w:val="en-GB" w:eastAsia="en-US"/>
    </w:rPr>
  </w:style>
  <w:style w:type="paragraph" w:customStyle="1" w:styleId="Level2">
    <w:name w:val="Level 2"/>
    <w:basedOn w:val="Normal"/>
    <w:rsid w:val="00C94077"/>
    <w:pPr>
      <w:widowControl/>
      <w:numPr>
        <w:ilvl w:val="1"/>
        <w:numId w:val="20"/>
      </w:numPr>
      <w:autoSpaceDE/>
      <w:autoSpaceDN/>
      <w:adjustRightInd/>
      <w:spacing w:after="140" w:line="290" w:lineRule="auto"/>
      <w:outlineLvl w:val="1"/>
    </w:pPr>
    <w:rPr>
      <w:rFonts w:ascii="Arial" w:eastAsia="SimSun" w:hAnsi="Arial" w:cs="Times New Roman"/>
      <w:color w:val="auto"/>
      <w:kern w:val="20"/>
      <w:sz w:val="20"/>
      <w:szCs w:val="20"/>
      <w:lang w:val="en-GB" w:eastAsia="en-US"/>
    </w:rPr>
  </w:style>
  <w:style w:type="paragraph" w:customStyle="1" w:styleId="Level3">
    <w:name w:val="Level 3"/>
    <w:basedOn w:val="Normal"/>
    <w:rsid w:val="00C94077"/>
    <w:pPr>
      <w:widowControl/>
      <w:numPr>
        <w:ilvl w:val="2"/>
        <w:numId w:val="20"/>
      </w:numPr>
      <w:autoSpaceDE/>
      <w:autoSpaceDN/>
      <w:adjustRightInd/>
      <w:spacing w:after="140" w:line="290" w:lineRule="auto"/>
      <w:outlineLvl w:val="2"/>
    </w:pPr>
    <w:rPr>
      <w:rFonts w:ascii="Arial" w:eastAsia="SimSun" w:hAnsi="Arial" w:cs="Times New Roman"/>
      <w:color w:val="auto"/>
      <w:kern w:val="20"/>
      <w:sz w:val="20"/>
      <w:szCs w:val="20"/>
      <w:lang w:val="en-GB" w:eastAsia="en-US"/>
    </w:rPr>
  </w:style>
  <w:style w:type="paragraph" w:customStyle="1" w:styleId="Level4">
    <w:name w:val="Level 4"/>
    <w:basedOn w:val="Normal"/>
    <w:rsid w:val="00C94077"/>
    <w:pPr>
      <w:widowControl/>
      <w:numPr>
        <w:ilvl w:val="3"/>
        <w:numId w:val="20"/>
      </w:numPr>
      <w:autoSpaceDE/>
      <w:autoSpaceDN/>
      <w:adjustRightInd/>
      <w:spacing w:after="140" w:line="290" w:lineRule="auto"/>
      <w:outlineLvl w:val="3"/>
    </w:pPr>
    <w:rPr>
      <w:rFonts w:ascii="Arial" w:eastAsia="SimSun" w:hAnsi="Arial" w:cs="Times New Roman"/>
      <w:color w:val="auto"/>
      <w:kern w:val="20"/>
      <w:sz w:val="20"/>
      <w:szCs w:val="20"/>
      <w:lang w:val="en-GB" w:eastAsia="en-US"/>
    </w:rPr>
  </w:style>
  <w:style w:type="paragraph" w:customStyle="1" w:styleId="alpha6">
    <w:name w:val="alpha 6"/>
    <w:basedOn w:val="Normal"/>
    <w:rsid w:val="00C94077"/>
    <w:pPr>
      <w:widowControl/>
      <w:numPr>
        <w:ilvl w:val="4"/>
        <w:numId w:val="20"/>
      </w:numPr>
      <w:autoSpaceDE/>
      <w:autoSpaceDN/>
      <w:adjustRightInd/>
      <w:spacing w:after="140" w:line="290" w:lineRule="auto"/>
    </w:pPr>
    <w:rPr>
      <w:rFonts w:ascii="Arial" w:eastAsia="SimSun" w:hAnsi="Arial" w:cs="Times New Roman"/>
      <w:color w:val="auto"/>
      <w:kern w:val="20"/>
      <w:sz w:val="20"/>
      <w:szCs w:val="20"/>
      <w:lang w:val="en-GB" w:eastAsia="en-US"/>
    </w:rPr>
  </w:style>
  <w:style w:type="paragraph" w:customStyle="1" w:styleId="roman4">
    <w:name w:val="roman 4"/>
    <w:basedOn w:val="Normal"/>
    <w:rsid w:val="00C94077"/>
    <w:pPr>
      <w:widowControl/>
      <w:numPr>
        <w:ilvl w:val="5"/>
        <w:numId w:val="20"/>
      </w:numPr>
      <w:tabs>
        <w:tab w:val="left" w:pos="2495"/>
      </w:tabs>
      <w:autoSpaceDE/>
      <w:autoSpaceDN/>
      <w:adjustRightInd/>
      <w:spacing w:after="140" w:line="290" w:lineRule="auto"/>
    </w:pPr>
    <w:rPr>
      <w:rFonts w:ascii="Arial" w:eastAsia="SimSun" w:hAnsi="Arial" w:cs="Times New Roman"/>
      <w:color w:val="auto"/>
      <w:kern w:val="20"/>
      <w:sz w:val="20"/>
      <w:szCs w:val="20"/>
      <w:lang w:val="en-GB" w:eastAsia="en-US"/>
    </w:rPr>
  </w:style>
  <w:style w:type="paragraph" w:customStyle="1" w:styleId="Level5">
    <w:name w:val="Level 5"/>
    <w:basedOn w:val="Normal"/>
    <w:rsid w:val="00B64208"/>
    <w:pPr>
      <w:widowControl/>
      <w:tabs>
        <w:tab w:val="num" w:pos="2693"/>
      </w:tabs>
      <w:autoSpaceDE/>
      <w:autoSpaceDN/>
      <w:adjustRightInd/>
      <w:spacing w:after="140" w:line="288" w:lineRule="auto"/>
      <w:ind w:left="2693" w:hanging="567"/>
    </w:pPr>
    <w:rPr>
      <w:rFonts w:ascii="Times New Roman" w:eastAsiaTheme="minorEastAsia" w:hAnsi="Times New Roman" w:cs="Times New Roman"/>
      <w:color w:val="auto"/>
      <w:sz w:val="20"/>
      <w:szCs w:val="20"/>
      <w:lang w:val="en-GB" w:eastAsia="en-US" w:bidi="hi-IN"/>
    </w:rPr>
  </w:style>
  <w:style w:type="paragraph" w:customStyle="1" w:styleId="Level6">
    <w:name w:val="Level 6"/>
    <w:basedOn w:val="Normal"/>
    <w:rsid w:val="00B64208"/>
    <w:pPr>
      <w:widowControl/>
      <w:tabs>
        <w:tab w:val="num" w:pos="3260"/>
      </w:tabs>
      <w:autoSpaceDE/>
      <w:autoSpaceDN/>
      <w:adjustRightInd/>
      <w:spacing w:after="140" w:line="288" w:lineRule="auto"/>
      <w:ind w:left="3260" w:hanging="567"/>
    </w:pPr>
    <w:rPr>
      <w:rFonts w:ascii="Times New Roman" w:eastAsiaTheme="minorEastAsia" w:hAnsi="Times New Roman" w:cs="Times New Roman"/>
      <w:color w:val="auto"/>
      <w:sz w:val="20"/>
      <w:szCs w:val="20"/>
      <w:lang w:val="en-GB" w:eastAsia="en-US" w:bidi="hi-IN"/>
    </w:rPr>
  </w:style>
  <w:style w:type="paragraph" w:styleId="Revision">
    <w:name w:val="Revision"/>
    <w:hidden/>
    <w:uiPriority w:val="99"/>
    <w:semiHidden/>
    <w:rsid w:val="00FC62F8"/>
    <w:rPr>
      <w:rFonts w:ascii="PMingLiU" w:hAnsi="Times" w:cs="PMingLiU"/>
      <w:color w:val="000000"/>
      <w:sz w:val="22"/>
      <w:szCs w:val="22"/>
      <w:lang w:val="en-US" w:eastAsia="zh-TW" w:bidi="ar-SA"/>
    </w:rPr>
  </w:style>
  <w:style w:type="paragraph" w:styleId="BalloonText">
    <w:name w:val="Balloon Text"/>
    <w:basedOn w:val="Normal"/>
    <w:link w:val="BalloonTextChar"/>
    <w:uiPriority w:val="99"/>
    <w:semiHidden/>
    <w:unhideWhenUsed/>
    <w:rsid w:val="00FC62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F8"/>
    <w:rPr>
      <w:rFonts w:ascii="Segoe UI" w:hAnsi="Segoe UI" w:cs="Segoe UI"/>
      <w:color w:val="000000"/>
      <w:sz w:val="18"/>
      <w:szCs w:val="1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0080">
      <w:bodyDiv w:val="1"/>
      <w:marLeft w:val="0"/>
      <w:marRight w:val="0"/>
      <w:marTop w:val="0"/>
      <w:marBottom w:val="0"/>
      <w:divBdr>
        <w:top w:val="none" w:sz="0" w:space="0" w:color="auto"/>
        <w:left w:val="none" w:sz="0" w:space="0" w:color="auto"/>
        <w:bottom w:val="none" w:sz="0" w:space="0" w:color="auto"/>
        <w:right w:val="none" w:sz="0" w:space="0" w:color="auto"/>
      </w:divBdr>
    </w:div>
    <w:div w:id="93810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069D-24BC-4ADF-9161-7667534B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14</Pages>
  <Words>5399</Words>
  <Characters>27432</Characters>
  <Application>Microsoft Office Word</Application>
  <DocSecurity>0</DocSecurity>
  <Lines>653</Lines>
  <Paragraphs>335</Paragraphs>
  <ScaleCrop>false</ScaleCrop>
  <HeadingPairs>
    <vt:vector size="2" baseType="variant">
      <vt:variant>
        <vt:lpstr>Title</vt:lpstr>
      </vt:variant>
      <vt:variant>
        <vt:i4>1</vt:i4>
      </vt:variant>
    </vt:vector>
  </HeadingPairs>
  <TitlesOfParts>
    <vt:vector size="1" baseType="lpstr">
      <vt:lpstr>中華人民共和國</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中華人民共和國</dc:title>
  <dc:subject/>
  <dc:creator>Any Authorised User</dc:creator>
  <cp:keywords/>
  <dc:description>generated by an Adobe application</dc:description>
  <cp:lastModifiedBy>Any Authorised User</cp:lastModifiedBy>
  <cp:revision>172</cp:revision>
  <cp:lastPrinted>2020-11-17T07:22:00Z</cp:lastPrinted>
  <dcterms:created xsi:type="dcterms:W3CDTF">2017-11-10T02:38:00Z</dcterms:created>
  <dcterms:modified xsi:type="dcterms:W3CDTF">2021-11-10T04:15:00Z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EDocumentLocation">
    <vt:lpwstr>C:\Users\jstang\AppData\Local\Linklaters\DocExplorer\Attachments\01_招标章程_英文.docx</vt:lpwstr>
  </op:property>
  <op:property fmtid="{D5CDD505-2E9C-101B-9397-08002B2CF9AE}" pid="3" name="Document Number">
    <vt:lpwstr>A46272606</vt:lpwstr>
  </op:property>
  <op:property fmtid="{D5CDD505-2E9C-101B-9397-08002B2CF9AE}" pid="4" name="Last Modified">
    <vt:lpwstr>10 Nov 2021</vt:lpwstr>
  </op:property>
  <op:property fmtid="{D5CDD505-2E9C-101B-9397-08002B2CF9AE}" pid="5" name="Mode">
    <vt:lpwstr>SendAs</vt:lpwstr>
  </op:property>
  <op:property fmtid="{D5CDD505-2E9C-101B-9397-08002B2CF9AE}" pid="6" name="Version">
    <vt:lpwstr>2.0</vt:lpwstr>
  </op:property>
  <op:property fmtid="{D5CDD505-2E9C-101B-9397-08002B2CF9AE}" pid="7" name="Client Code">
    <vt:lpwstr>10403486</vt:lpwstr>
  </op:property>
  <op:property fmtid="{D5CDD505-2E9C-101B-9397-08002B2CF9AE}" pid="8" name="Matter Number">
    <vt:lpwstr>L-314882</vt:lpwstr>
  </op:property>
  <op:property fmtid="{D5CDD505-2E9C-101B-9397-08002B2CF9AE}" pid="9" name="ObjectID">
    <vt:lpwstr>09001dc896577bc8</vt:lpwstr>
  </op:property>
  <op:property fmtid="{D5CDD505-2E9C-101B-9397-08002B2CF9AE}" pid="10" name="_MarkAsFinal">
    <vt:bool>false</vt:bool>
  </op:property>
</op:Properties>
</file>