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66765" w14:textId="77777777" w:rsidR="000B2054" w:rsidRDefault="000B2054" w:rsidP="000B2054">
      <w:pPr>
        <w:jc w:val="both"/>
        <w:rPr>
          <w:i/>
        </w:rPr>
      </w:pPr>
      <w:r>
        <w:rPr>
          <w:i/>
        </w:rPr>
        <w:t>Hong Kong Exchanges and Clearing Limited and The Stock Exchange of Hong Kong Limited take no responsibility for the contents of this announcement, make no representation as to its accuracy or completeness and expressly disclaim any liability whatsoever for any loss howsoever arising from or in reliance upon the whole or any part of the contents of this announcement.</w:t>
      </w:r>
    </w:p>
    <w:p w14:paraId="1F095780" w14:textId="77777777" w:rsidR="000B2054" w:rsidRDefault="000B2054" w:rsidP="000B2054">
      <w:pPr>
        <w:adjustRightInd w:val="0"/>
        <w:jc w:val="both"/>
      </w:pPr>
    </w:p>
    <w:p w14:paraId="446E79C1" w14:textId="674DF042" w:rsidR="000B2054" w:rsidRDefault="000B2054" w:rsidP="000B2054">
      <w:pPr>
        <w:jc w:val="center"/>
        <w:rPr>
          <w:lang w:eastAsia="zh-HK"/>
        </w:rPr>
      </w:pPr>
      <w:r>
        <w:rPr>
          <w:noProof/>
          <w:lang w:val="en-US" w:eastAsia="zh-CN"/>
        </w:rPr>
        <w:drawing>
          <wp:inline distT="0" distB="0" distL="0" distR="0" wp14:anchorId="1D723CE2" wp14:editId="58A25970">
            <wp:extent cx="1043940" cy="1493520"/>
            <wp:effectExtent l="0" t="0" r="3810" b="0"/>
            <wp:docPr id="1" name="图片 1" descr="图片包含 游戏机, 画&#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包含 游戏机, 画&#10;&#10;描述已自动生成"/>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3940" cy="1493520"/>
                    </a:xfrm>
                    <a:prstGeom prst="rect">
                      <a:avLst/>
                    </a:prstGeom>
                    <a:noFill/>
                    <a:ln>
                      <a:noFill/>
                    </a:ln>
                  </pic:spPr>
                </pic:pic>
              </a:graphicData>
            </a:graphic>
          </wp:inline>
        </w:drawing>
      </w:r>
    </w:p>
    <w:p w14:paraId="5D41BA0D" w14:textId="77777777" w:rsidR="000B2054" w:rsidRDefault="000B2054" w:rsidP="000B2054">
      <w:pPr>
        <w:spacing w:line="360" w:lineRule="exact"/>
        <w:jc w:val="center"/>
        <w:rPr>
          <w:b/>
          <w:sz w:val="32"/>
          <w:szCs w:val="32"/>
        </w:rPr>
      </w:pPr>
      <w:r>
        <w:rPr>
          <w:b/>
          <w:sz w:val="32"/>
          <w:szCs w:val="32"/>
        </w:rPr>
        <w:t>FRESH EXPRESS DELIVERY HOLDINGS GROUP CO., LTD</w:t>
      </w:r>
    </w:p>
    <w:p w14:paraId="3D8B75DD" w14:textId="77777777" w:rsidR="000B2054" w:rsidRDefault="000B2054" w:rsidP="000B2054">
      <w:pPr>
        <w:spacing w:line="360" w:lineRule="exact"/>
        <w:jc w:val="center"/>
        <w:rPr>
          <w:b/>
          <w:sz w:val="32"/>
          <w:szCs w:val="32"/>
        </w:rPr>
      </w:pPr>
      <w:r>
        <w:rPr>
          <w:rFonts w:hint="eastAsia"/>
          <w:b/>
          <w:sz w:val="32"/>
          <w:szCs w:val="32"/>
        </w:rPr>
        <w:t>鮮</w:t>
      </w:r>
      <w:r>
        <w:rPr>
          <w:rFonts w:hint="eastAsia"/>
          <w:b/>
          <w:sz w:val="32"/>
          <w:szCs w:val="32"/>
          <w:lang w:eastAsia="zh-HK"/>
        </w:rPr>
        <w:t xml:space="preserve"> </w:t>
      </w:r>
      <w:r>
        <w:rPr>
          <w:rFonts w:hint="eastAsia"/>
          <w:b/>
          <w:sz w:val="32"/>
          <w:szCs w:val="32"/>
        </w:rPr>
        <w:t>馳</w:t>
      </w:r>
      <w:r>
        <w:rPr>
          <w:rFonts w:hint="eastAsia"/>
          <w:b/>
          <w:sz w:val="32"/>
          <w:szCs w:val="32"/>
          <w:lang w:eastAsia="zh-HK"/>
        </w:rPr>
        <w:t xml:space="preserve"> </w:t>
      </w:r>
      <w:r>
        <w:rPr>
          <w:rFonts w:hint="eastAsia"/>
          <w:b/>
          <w:sz w:val="32"/>
          <w:szCs w:val="32"/>
        </w:rPr>
        <w:t>達</w:t>
      </w:r>
      <w:r>
        <w:rPr>
          <w:rFonts w:hint="eastAsia"/>
          <w:b/>
          <w:sz w:val="32"/>
          <w:szCs w:val="32"/>
          <w:lang w:eastAsia="zh-HK"/>
        </w:rPr>
        <w:t xml:space="preserve"> </w:t>
      </w:r>
      <w:r>
        <w:rPr>
          <w:rFonts w:hint="eastAsia"/>
          <w:b/>
          <w:sz w:val="32"/>
          <w:szCs w:val="32"/>
        </w:rPr>
        <w:t>控</w:t>
      </w:r>
      <w:r>
        <w:rPr>
          <w:rFonts w:hint="eastAsia"/>
          <w:b/>
          <w:sz w:val="32"/>
          <w:szCs w:val="32"/>
          <w:lang w:eastAsia="zh-HK"/>
        </w:rPr>
        <w:t xml:space="preserve"> </w:t>
      </w:r>
      <w:r>
        <w:rPr>
          <w:rFonts w:hint="eastAsia"/>
          <w:b/>
          <w:sz w:val="32"/>
          <w:szCs w:val="32"/>
        </w:rPr>
        <w:t>股</w:t>
      </w:r>
      <w:r>
        <w:rPr>
          <w:rFonts w:hint="eastAsia"/>
          <w:b/>
          <w:sz w:val="32"/>
          <w:szCs w:val="32"/>
          <w:lang w:eastAsia="zh-HK"/>
        </w:rPr>
        <w:t xml:space="preserve"> </w:t>
      </w:r>
      <w:r>
        <w:rPr>
          <w:rFonts w:hint="eastAsia"/>
          <w:b/>
          <w:sz w:val="32"/>
          <w:szCs w:val="32"/>
        </w:rPr>
        <w:t>集</w:t>
      </w:r>
      <w:r>
        <w:rPr>
          <w:rFonts w:hint="eastAsia"/>
          <w:b/>
          <w:sz w:val="32"/>
          <w:szCs w:val="32"/>
          <w:lang w:eastAsia="zh-HK"/>
        </w:rPr>
        <w:t xml:space="preserve"> </w:t>
      </w:r>
      <w:r>
        <w:rPr>
          <w:rFonts w:hint="eastAsia"/>
          <w:b/>
          <w:sz w:val="32"/>
          <w:szCs w:val="32"/>
        </w:rPr>
        <w:t>團</w:t>
      </w:r>
      <w:r>
        <w:rPr>
          <w:rFonts w:hint="eastAsia"/>
          <w:b/>
          <w:sz w:val="32"/>
          <w:szCs w:val="32"/>
          <w:lang w:eastAsia="zh-HK"/>
        </w:rPr>
        <w:t xml:space="preserve"> </w:t>
      </w:r>
      <w:r>
        <w:rPr>
          <w:rFonts w:hint="eastAsia"/>
          <w:b/>
          <w:sz w:val="32"/>
          <w:szCs w:val="32"/>
        </w:rPr>
        <w:t>有</w:t>
      </w:r>
      <w:r>
        <w:rPr>
          <w:rFonts w:hint="eastAsia"/>
          <w:b/>
          <w:sz w:val="32"/>
          <w:szCs w:val="32"/>
          <w:lang w:eastAsia="zh-HK"/>
        </w:rPr>
        <w:t xml:space="preserve"> </w:t>
      </w:r>
      <w:r>
        <w:rPr>
          <w:rFonts w:hint="eastAsia"/>
          <w:b/>
          <w:sz w:val="32"/>
          <w:szCs w:val="32"/>
        </w:rPr>
        <w:t>限</w:t>
      </w:r>
      <w:r>
        <w:rPr>
          <w:rFonts w:hint="eastAsia"/>
          <w:b/>
          <w:sz w:val="32"/>
          <w:szCs w:val="32"/>
          <w:lang w:eastAsia="zh-HK"/>
        </w:rPr>
        <w:t xml:space="preserve"> </w:t>
      </w:r>
      <w:r>
        <w:rPr>
          <w:rFonts w:hint="eastAsia"/>
          <w:b/>
          <w:sz w:val="32"/>
          <w:szCs w:val="32"/>
        </w:rPr>
        <w:t>公</w:t>
      </w:r>
      <w:r>
        <w:rPr>
          <w:rFonts w:hint="eastAsia"/>
          <w:b/>
          <w:sz w:val="32"/>
          <w:szCs w:val="32"/>
          <w:lang w:eastAsia="zh-HK"/>
        </w:rPr>
        <w:t xml:space="preserve"> </w:t>
      </w:r>
      <w:r>
        <w:rPr>
          <w:rFonts w:hint="eastAsia"/>
          <w:b/>
          <w:sz w:val="32"/>
          <w:szCs w:val="32"/>
        </w:rPr>
        <w:t>司</w:t>
      </w:r>
    </w:p>
    <w:p w14:paraId="2A3583C4" w14:textId="77777777" w:rsidR="000B2054" w:rsidRDefault="000B2054" w:rsidP="000B2054">
      <w:pPr>
        <w:jc w:val="center"/>
        <w:rPr>
          <w:i/>
          <w:sz w:val="20"/>
        </w:rPr>
      </w:pPr>
      <w:r>
        <w:rPr>
          <w:i/>
          <w:sz w:val="20"/>
        </w:rPr>
        <w:t>(Incorporated in the Cayman Islands with limited liability)</w:t>
      </w:r>
    </w:p>
    <w:p w14:paraId="620CBFEE" w14:textId="77777777" w:rsidR="000B2054" w:rsidRDefault="000B2054" w:rsidP="000B2054">
      <w:pPr>
        <w:jc w:val="center"/>
        <w:rPr>
          <w:b/>
        </w:rPr>
      </w:pPr>
      <w:r>
        <w:rPr>
          <w:b/>
        </w:rPr>
        <w:t>(Stock Code: 1175)</w:t>
      </w:r>
    </w:p>
    <w:p w14:paraId="1E2C037A" w14:textId="77777777" w:rsidR="000B2054" w:rsidRDefault="000B2054" w:rsidP="000B2054">
      <w:pPr>
        <w:jc w:val="center"/>
        <w:rPr>
          <w:b/>
          <w:sz w:val="28"/>
          <w:szCs w:val="28"/>
          <w:lang w:eastAsia="zh-HK"/>
        </w:rPr>
      </w:pPr>
    </w:p>
    <w:p w14:paraId="198E1605" w14:textId="77777777" w:rsidR="000B2054" w:rsidRDefault="000B2054" w:rsidP="000B2054">
      <w:pPr>
        <w:pStyle w:val="a3"/>
        <w:numPr>
          <w:ilvl w:val="0"/>
          <w:numId w:val="1"/>
        </w:numPr>
        <w:ind w:leftChars="0" w:left="0"/>
        <w:jc w:val="center"/>
        <w:rPr>
          <w:rFonts w:ascii="Times New Roman" w:hAnsi="Times New Roman" w:cs="Times New Roman"/>
          <w:b/>
          <w:sz w:val="28"/>
          <w:szCs w:val="28"/>
          <w:lang w:eastAsia="zh-HK"/>
        </w:rPr>
      </w:pPr>
      <w:r>
        <w:rPr>
          <w:rFonts w:ascii="Times New Roman" w:hAnsi="Times New Roman" w:cs="Times New Roman"/>
          <w:b/>
          <w:sz w:val="28"/>
          <w:szCs w:val="28"/>
          <w:lang w:val="en-GB" w:eastAsia="zh-HK"/>
        </w:rPr>
        <w:t xml:space="preserve"> </w:t>
      </w:r>
      <w:r>
        <w:rPr>
          <w:rFonts w:ascii="Times New Roman" w:hAnsi="Times New Roman" w:cs="Times New Roman"/>
          <w:b/>
          <w:sz w:val="28"/>
          <w:szCs w:val="28"/>
          <w:lang w:eastAsia="zh-HK"/>
        </w:rPr>
        <w:t>QUARTERLY UPDATE ON STATUS OF RESUMPTION; AND</w:t>
      </w:r>
    </w:p>
    <w:p w14:paraId="7AEF8838" w14:textId="77777777" w:rsidR="000B2054" w:rsidRDefault="000B2054" w:rsidP="000B2054">
      <w:pPr>
        <w:jc w:val="center"/>
        <w:rPr>
          <w:b/>
          <w:sz w:val="28"/>
          <w:szCs w:val="28"/>
          <w:lang w:eastAsia="zh-HK"/>
        </w:rPr>
      </w:pPr>
      <w:r>
        <w:rPr>
          <w:b/>
          <w:sz w:val="28"/>
          <w:szCs w:val="28"/>
          <w:lang w:eastAsia="zh-HK"/>
        </w:rPr>
        <w:t>(2) CONTINUED SUSPENSION OF TRADING</w:t>
      </w:r>
    </w:p>
    <w:p w14:paraId="5249B458" w14:textId="77777777" w:rsidR="000B2054" w:rsidRDefault="000B2054" w:rsidP="000B2054">
      <w:pPr>
        <w:adjustRightInd w:val="0"/>
        <w:snapToGrid w:val="0"/>
        <w:jc w:val="both"/>
      </w:pPr>
    </w:p>
    <w:p w14:paraId="7098724D" w14:textId="77777777" w:rsidR="000B2054" w:rsidRDefault="000B2054" w:rsidP="000B2054">
      <w:pPr>
        <w:jc w:val="both"/>
        <w:rPr>
          <w:spacing w:val="4"/>
          <w:sz w:val="24"/>
          <w:szCs w:val="24"/>
          <w:lang w:val="en-HK" w:eastAsia="zh-HK"/>
        </w:rPr>
      </w:pPr>
      <w:r>
        <w:rPr>
          <w:rFonts w:ascii="TimesLTStd-Roman" w:eastAsiaTheme="minorEastAsia" w:hAnsi="TimesLTStd-Roman" w:cs="TimesLTStd-Roman"/>
          <w:sz w:val="24"/>
          <w:szCs w:val="24"/>
          <w:lang w:val="en-HK" w:eastAsia="zh-CN"/>
        </w:rPr>
        <w:t xml:space="preserve">This announcement is published by </w:t>
      </w:r>
      <w:r>
        <w:rPr>
          <w:spacing w:val="4"/>
          <w:sz w:val="24"/>
          <w:szCs w:val="24"/>
          <w:lang w:eastAsia="zh-HK"/>
        </w:rPr>
        <w:t>Fresh Express Delivery Holdings Group Co., Ltd (the “</w:t>
      </w:r>
      <w:r>
        <w:rPr>
          <w:b/>
          <w:bCs/>
          <w:spacing w:val="4"/>
          <w:sz w:val="24"/>
          <w:szCs w:val="24"/>
          <w:lang w:eastAsia="zh-HK"/>
        </w:rPr>
        <w:t>C</w:t>
      </w:r>
      <w:proofErr w:type="spellStart"/>
      <w:r>
        <w:rPr>
          <w:b/>
          <w:bCs/>
          <w:spacing w:val="4"/>
          <w:sz w:val="24"/>
          <w:szCs w:val="24"/>
          <w:lang w:val="en-HK" w:eastAsia="zh-HK"/>
        </w:rPr>
        <w:t>ompany</w:t>
      </w:r>
      <w:proofErr w:type="spellEnd"/>
      <w:r>
        <w:rPr>
          <w:spacing w:val="4"/>
          <w:sz w:val="24"/>
          <w:szCs w:val="24"/>
          <w:lang w:val="en-HK" w:eastAsia="zh-HK"/>
        </w:rPr>
        <w:t>”, together with its subsidiaries, the “</w:t>
      </w:r>
      <w:r>
        <w:rPr>
          <w:b/>
          <w:bCs/>
          <w:spacing w:val="4"/>
          <w:sz w:val="24"/>
          <w:szCs w:val="24"/>
          <w:lang w:val="en-HK" w:eastAsia="zh-HK"/>
        </w:rPr>
        <w:t>Group</w:t>
      </w:r>
      <w:r>
        <w:rPr>
          <w:spacing w:val="4"/>
          <w:sz w:val="24"/>
          <w:szCs w:val="24"/>
          <w:lang w:val="en-HK" w:eastAsia="zh-HK"/>
        </w:rPr>
        <w:t xml:space="preserve">”) </w:t>
      </w:r>
      <w:r>
        <w:rPr>
          <w:rFonts w:ascii="TimesLTStd-Roman" w:eastAsiaTheme="minorEastAsia" w:hAnsi="TimesLTStd-Roman" w:cs="TimesLTStd-Roman"/>
          <w:sz w:val="24"/>
          <w:szCs w:val="24"/>
          <w:lang w:val="en-HK" w:eastAsia="zh-CN"/>
        </w:rPr>
        <w:t>pursuant to Rule 13.09 and Rule 13.24A of the Rules Governing the Listing of Securities on The Stock Exchange of Hong Kong Limited (the “</w:t>
      </w:r>
      <w:r>
        <w:rPr>
          <w:rFonts w:ascii="TimesLTStd-Bold" w:eastAsiaTheme="minorEastAsia" w:hAnsi="TimesLTStd-Bold" w:cs="TimesLTStd-Bold"/>
          <w:b/>
          <w:bCs/>
          <w:sz w:val="24"/>
          <w:szCs w:val="24"/>
          <w:lang w:val="en-HK" w:eastAsia="zh-CN"/>
        </w:rPr>
        <w:t>Listing Rules</w:t>
      </w:r>
      <w:r>
        <w:rPr>
          <w:rFonts w:ascii="TimesLTStd-Roman" w:eastAsiaTheme="minorEastAsia" w:hAnsi="TimesLTStd-Roman" w:cs="TimesLTStd-Roman"/>
          <w:sz w:val="24"/>
          <w:szCs w:val="24"/>
          <w:lang w:val="en-HK" w:eastAsia="zh-CN"/>
        </w:rPr>
        <w:t>”), and the Inside Information Provisions under Part XIVA of the Securities and Futures Ordinance (Chapter 571 of the Laws of Hong Kong).</w:t>
      </w:r>
    </w:p>
    <w:p w14:paraId="2365E81D" w14:textId="77777777" w:rsidR="000B2054" w:rsidRDefault="000B2054" w:rsidP="000B2054">
      <w:pPr>
        <w:jc w:val="both"/>
        <w:rPr>
          <w:spacing w:val="4"/>
          <w:sz w:val="24"/>
          <w:szCs w:val="24"/>
          <w:lang w:eastAsia="zh-HK"/>
        </w:rPr>
      </w:pPr>
    </w:p>
    <w:p w14:paraId="178668FE" w14:textId="33BE48DB" w:rsidR="000B2054" w:rsidRDefault="000B2054" w:rsidP="000B2054">
      <w:pPr>
        <w:jc w:val="both"/>
        <w:rPr>
          <w:spacing w:val="4"/>
          <w:sz w:val="24"/>
          <w:szCs w:val="24"/>
          <w:lang w:eastAsia="zh-HK"/>
        </w:rPr>
      </w:pPr>
      <w:r>
        <w:rPr>
          <w:spacing w:val="4"/>
          <w:sz w:val="24"/>
          <w:szCs w:val="24"/>
          <w:lang w:eastAsia="zh-HK"/>
        </w:rPr>
        <w:t>Reference</w:t>
      </w:r>
      <w:r w:rsidR="002B1EDF">
        <w:rPr>
          <w:spacing w:val="4"/>
          <w:sz w:val="24"/>
          <w:szCs w:val="24"/>
          <w:lang w:eastAsia="zh-HK"/>
        </w:rPr>
        <w:t>s are</w:t>
      </w:r>
      <w:r>
        <w:rPr>
          <w:spacing w:val="4"/>
          <w:sz w:val="24"/>
          <w:szCs w:val="24"/>
          <w:lang w:eastAsia="zh-HK"/>
        </w:rPr>
        <w:t xml:space="preserve"> made to</w:t>
      </w:r>
      <w:r w:rsidR="002B1EDF">
        <w:rPr>
          <w:spacing w:val="4"/>
          <w:sz w:val="24"/>
          <w:szCs w:val="24"/>
          <w:lang w:eastAsia="zh-HK"/>
        </w:rPr>
        <w:t xml:space="preserve"> the announcements dated</w:t>
      </w:r>
      <w:r>
        <w:rPr>
          <w:spacing w:val="4"/>
          <w:sz w:val="24"/>
          <w:szCs w:val="24"/>
          <w:lang w:eastAsia="zh-HK"/>
        </w:rPr>
        <w:t xml:space="preserve"> (</w:t>
      </w:r>
      <w:r w:rsidR="00B72AB4">
        <w:rPr>
          <w:spacing w:val="4"/>
          <w:sz w:val="24"/>
          <w:szCs w:val="24"/>
          <w:lang w:eastAsia="zh-HK"/>
        </w:rPr>
        <w:t>1</w:t>
      </w:r>
      <w:r>
        <w:rPr>
          <w:spacing w:val="4"/>
          <w:sz w:val="24"/>
          <w:szCs w:val="24"/>
          <w:lang w:eastAsia="zh-HK"/>
        </w:rPr>
        <w:t xml:space="preserve">) 30 June 2021, 30 July 2021 and 30 August 2021 in relation to, among others, the delay in </w:t>
      </w:r>
      <w:r w:rsidR="002B1EDF">
        <w:rPr>
          <w:spacing w:val="4"/>
          <w:sz w:val="24"/>
          <w:szCs w:val="24"/>
          <w:lang w:eastAsia="zh-HK"/>
        </w:rPr>
        <w:t xml:space="preserve">the </w:t>
      </w:r>
      <w:r>
        <w:rPr>
          <w:spacing w:val="4"/>
          <w:sz w:val="24"/>
          <w:szCs w:val="24"/>
          <w:lang w:eastAsia="zh-HK"/>
        </w:rPr>
        <w:t>publication of the 2021 Annual Results</w:t>
      </w:r>
      <w:r w:rsidR="00B72AB4">
        <w:rPr>
          <w:spacing w:val="4"/>
          <w:sz w:val="24"/>
          <w:szCs w:val="24"/>
          <w:lang w:eastAsia="zh-HK"/>
        </w:rPr>
        <w:t xml:space="preserve"> and the suspension of trading of </w:t>
      </w:r>
      <w:r w:rsidR="00DD74EE">
        <w:rPr>
          <w:spacing w:val="4"/>
          <w:sz w:val="24"/>
          <w:szCs w:val="24"/>
          <w:lang w:eastAsia="zh-HK"/>
        </w:rPr>
        <w:t>S</w:t>
      </w:r>
      <w:r w:rsidR="00B72AB4">
        <w:rPr>
          <w:spacing w:val="4"/>
          <w:sz w:val="24"/>
          <w:szCs w:val="24"/>
          <w:lang w:eastAsia="zh-HK"/>
        </w:rPr>
        <w:t>hares (the “</w:t>
      </w:r>
      <w:r w:rsidR="00B72AB4" w:rsidRPr="00504871">
        <w:rPr>
          <w:b/>
          <w:spacing w:val="4"/>
          <w:sz w:val="24"/>
          <w:szCs w:val="24"/>
          <w:lang w:eastAsia="zh-HK"/>
        </w:rPr>
        <w:t>Delay Announcements</w:t>
      </w:r>
      <w:r w:rsidR="00B72AB4">
        <w:rPr>
          <w:spacing w:val="4"/>
          <w:sz w:val="24"/>
          <w:szCs w:val="24"/>
          <w:lang w:eastAsia="zh-HK"/>
        </w:rPr>
        <w:t>”)</w:t>
      </w:r>
      <w:r>
        <w:rPr>
          <w:spacing w:val="4"/>
          <w:sz w:val="24"/>
          <w:szCs w:val="24"/>
          <w:lang w:eastAsia="zh-HK"/>
        </w:rPr>
        <w:t>; (</w:t>
      </w:r>
      <w:r w:rsidR="00B72AB4">
        <w:rPr>
          <w:spacing w:val="4"/>
          <w:sz w:val="24"/>
          <w:szCs w:val="24"/>
          <w:lang w:eastAsia="zh-HK"/>
        </w:rPr>
        <w:t>2</w:t>
      </w:r>
      <w:r>
        <w:rPr>
          <w:spacing w:val="4"/>
          <w:sz w:val="24"/>
          <w:szCs w:val="24"/>
          <w:lang w:eastAsia="zh-HK"/>
        </w:rPr>
        <w:t>) 1 October 2021</w:t>
      </w:r>
      <w:r w:rsidR="002B1EDF">
        <w:rPr>
          <w:spacing w:val="4"/>
          <w:sz w:val="24"/>
          <w:szCs w:val="24"/>
          <w:lang w:eastAsia="zh-HK"/>
        </w:rPr>
        <w:t xml:space="preserve"> and </w:t>
      </w:r>
      <w:r w:rsidR="00316C3E">
        <w:rPr>
          <w:spacing w:val="4"/>
          <w:sz w:val="24"/>
          <w:szCs w:val="24"/>
          <w:lang w:eastAsia="zh-HK"/>
        </w:rPr>
        <w:t>14</w:t>
      </w:r>
      <w:r w:rsidR="002B1EDF">
        <w:rPr>
          <w:spacing w:val="4"/>
          <w:sz w:val="24"/>
          <w:szCs w:val="24"/>
          <w:lang w:eastAsia="zh-HK"/>
        </w:rPr>
        <w:t xml:space="preserve"> March 2022 </w:t>
      </w:r>
      <w:r>
        <w:rPr>
          <w:spacing w:val="4"/>
          <w:sz w:val="24"/>
          <w:szCs w:val="24"/>
          <w:lang w:eastAsia="zh-HK"/>
        </w:rPr>
        <w:t>in relation to the Resumption Guidance</w:t>
      </w:r>
      <w:r w:rsidR="002B1EDF">
        <w:rPr>
          <w:spacing w:val="4"/>
          <w:sz w:val="24"/>
          <w:szCs w:val="24"/>
          <w:lang w:eastAsia="zh-HK"/>
        </w:rPr>
        <w:t xml:space="preserve"> issued to the Company by the Stock Exchange</w:t>
      </w:r>
      <w:r w:rsidR="000F7592">
        <w:rPr>
          <w:spacing w:val="4"/>
          <w:sz w:val="24"/>
          <w:szCs w:val="24"/>
          <w:lang w:eastAsia="zh-HK"/>
        </w:rPr>
        <w:t xml:space="preserve"> (the “</w:t>
      </w:r>
      <w:r w:rsidR="000F7592">
        <w:rPr>
          <w:b/>
          <w:bCs/>
          <w:spacing w:val="4"/>
          <w:sz w:val="24"/>
          <w:szCs w:val="24"/>
          <w:lang w:eastAsia="zh-HK"/>
        </w:rPr>
        <w:t>Resumption Guidance Announcement</w:t>
      </w:r>
      <w:r w:rsidR="00494949">
        <w:rPr>
          <w:b/>
          <w:bCs/>
          <w:spacing w:val="4"/>
          <w:sz w:val="24"/>
          <w:szCs w:val="24"/>
          <w:lang w:eastAsia="zh-HK"/>
        </w:rPr>
        <w:t>s</w:t>
      </w:r>
      <w:r w:rsidR="000F7592">
        <w:rPr>
          <w:spacing w:val="4"/>
          <w:sz w:val="24"/>
          <w:szCs w:val="24"/>
          <w:lang w:eastAsia="zh-HK"/>
        </w:rPr>
        <w:t>”)</w:t>
      </w:r>
      <w:r w:rsidR="002B1EDF">
        <w:rPr>
          <w:spacing w:val="4"/>
          <w:sz w:val="24"/>
          <w:szCs w:val="24"/>
          <w:lang w:eastAsia="zh-HK"/>
        </w:rPr>
        <w:t xml:space="preserve">; </w:t>
      </w:r>
      <w:r w:rsidR="0072577E">
        <w:rPr>
          <w:spacing w:val="4"/>
          <w:sz w:val="24"/>
          <w:szCs w:val="24"/>
          <w:lang w:eastAsia="zh-HK"/>
        </w:rPr>
        <w:t xml:space="preserve">and (3) </w:t>
      </w:r>
      <w:r w:rsidR="007F70A6">
        <w:rPr>
          <w:spacing w:val="4"/>
          <w:sz w:val="24"/>
          <w:szCs w:val="24"/>
          <w:lang w:eastAsia="zh-HK"/>
        </w:rPr>
        <w:t xml:space="preserve">1 October 2021 </w:t>
      </w:r>
      <w:r w:rsidR="004F61E4">
        <w:rPr>
          <w:spacing w:val="4"/>
          <w:sz w:val="24"/>
          <w:szCs w:val="24"/>
          <w:lang w:eastAsia="zh-HK"/>
        </w:rPr>
        <w:t xml:space="preserve">and 14 March 2022 </w:t>
      </w:r>
      <w:r w:rsidR="007F70A6">
        <w:rPr>
          <w:spacing w:val="4"/>
          <w:sz w:val="24"/>
          <w:szCs w:val="24"/>
          <w:lang w:eastAsia="zh-HK"/>
        </w:rPr>
        <w:t xml:space="preserve">in relation to </w:t>
      </w:r>
      <w:r w:rsidR="009C086F">
        <w:rPr>
          <w:spacing w:val="4"/>
          <w:sz w:val="24"/>
          <w:szCs w:val="24"/>
          <w:lang w:eastAsia="zh-HK"/>
        </w:rPr>
        <w:t>the</w:t>
      </w:r>
      <w:r w:rsidR="000F7592">
        <w:rPr>
          <w:spacing w:val="4"/>
          <w:sz w:val="24"/>
          <w:szCs w:val="24"/>
          <w:lang w:eastAsia="zh-HK"/>
        </w:rPr>
        <w:t xml:space="preserve"> </w:t>
      </w:r>
      <w:r w:rsidR="007F70A6">
        <w:rPr>
          <w:spacing w:val="4"/>
          <w:sz w:val="24"/>
          <w:szCs w:val="24"/>
          <w:lang w:eastAsia="zh-HK"/>
        </w:rPr>
        <w:t xml:space="preserve">status of resumption and continued suspension of trading </w:t>
      </w:r>
      <w:r>
        <w:rPr>
          <w:spacing w:val="4"/>
          <w:sz w:val="24"/>
          <w:szCs w:val="24"/>
          <w:lang w:eastAsia="zh-HK"/>
        </w:rPr>
        <w:t>(</w:t>
      </w:r>
      <w:r w:rsidR="000F7592">
        <w:rPr>
          <w:spacing w:val="4"/>
          <w:sz w:val="24"/>
          <w:szCs w:val="24"/>
          <w:lang w:eastAsia="zh-HK"/>
        </w:rPr>
        <w:t>the “</w:t>
      </w:r>
      <w:r w:rsidR="009C086F" w:rsidRPr="009C086F">
        <w:rPr>
          <w:b/>
          <w:bCs/>
          <w:spacing w:val="4"/>
          <w:sz w:val="24"/>
          <w:szCs w:val="24"/>
          <w:lang w:eastAsia="zh-HK"/>
        </w:rPr>
        <w:t>Resumption Status Announcement</w:t>
      </w:r>
      <w:r w:rsidR="004F61E4">
        <w:rPr>
          <w:b/>
          <w:bCs/>
          <w:spacing w:val="4"/>
          <w:sz w:val="24"/>
          <w:szCs w:val="24"/>
          <w:lang w:eastAsia="zh-HK"/>
        </w:rPr>
        <w:t>s</w:t>
      </w:r>
      <w:r w:rsidR="000F7592" w:rsidRPr="009C086F">
        <w:rPr>
          <w:spacing w:val="4"/>
          <w:sz w:val="24"/>
          <w:szCs w:val="24"/>
          <w:lang w:eastAsia="zh-HK"/>
        </w:rPr>
        <w:t xml:space="preserve">”, </w:t>
      </w:r>
      <w:r w:rsidR="00B72AB4" w:rsidRPr="009C086F">
        <w:rPr>
          <w:spacing w:val="4"/>
          <w:sz w:val="24"/>
          <w:szCs w:val="24"/>
          <w:lang w:eastAsia="zh-HK"/>
        </w:rPr>
        <w:t>together with</w:t>
      </w:r>
      <w:r w:rsidR="000F7592" w:rsidRPr="009C086F">
        <w:rPr>
          <w:spacing w:val="4"/>
          <w:sz w:val="24"/>
          <w:szCs w:val="24"/>
          <w:lang w:eastAsia="zh-HK"/>
        </w:rPr>
        <w:t xml:space="preserve"> the</w:t>
      </w:r>
      <w:r w:rsidR="00B72AB4" w:rsidRPr="009C086F">
        <w:rPr>
          <w:spacing w:val="4"/>
          <w:sz w:val="24"/>
          <w:szCs w:val="24"/>
          <w:lang w:eastAsia="zh-HK"/>
        </w:rPr>
        <w:t xml:space="preserve"> Delay Announcements</w:t>
      </w:r>
      <w:r w:rsidR="002B1EDF" w:rsidRPr="009C086F">
        <w:rPr>
          <w:spacing w:val="4"/>
          <w:sz w:val="24"/>
          <w:szCs w:val="24"/>
          <w:lang w:eastAsia="zh-HK"/>
        </w:rPr>
        <w:t>,</w:t>
      </w:r>
      <w:r w:rsidR="000F7592" w:rsidRPr="009C086F">
        <w:rPr>
          <w:spacing w:val="4"/>
          <w:sz w:val="24"/>
          <w:szCs w:val="24"/>
          <w:lang w:eastAsia="zh-HK"/>
        </w:rPr>
        <w:t xml:space="preserve"> the Resumption</w:t>
      </w:r>
      <w:r w:rsidR="000F7592" w:rsidRPr="009C086F">
        <w:rPr>
          <w:spacing w:val="4"/>
          <w:sz w:val="24"/>
          <w:szCs w:val="24"/>
          <w:lang w:val="en-HK" w:eastAsia="zh-HK"/>
        </w:rPr>
        <w:t xml:space="preserve"> Guidance Announcement</w:t>
      </w:r>
      <w:r w:rsidR="00494949">
        <w:rPr>
          <w:spacing w:val="4"/>
          <w:sz w:val="24"/>
          <w:szCs w:val="24"/>
          <w:lang w:val="en-HK" w:eastAsia="zh-HK"/>
        </w:rPr>
        <w:t>s</w:t>
      </w:r>
      <w:r w:rsidR="000F7592" w:rsidRPr="009C086F">
        <w:rPr>
          <w:spacing w:val="4"/>
          <w:sz w:val="24"/>
          <w:szCs w:val="24"/>
          <w:lang w:val="en-HK" w:eastAsia="zh-HK"/>
        </w:rPr>
        <w:t>,</w:t>
      </w:r>
      <w:r w:rsidR="002B1EDF" w:rsidRPr="009C086F">
        <w:rPr>
          <w:spacing w:val="4"/>
          <w:sz w:val="24"/>
          <w:szCs w:val="24"/>
          <w:lang w:eastAsia="zh-HK"/>
        </w:rPr>
        <w:t xml:space="preserve"> </w:t>
      </w:r>
      <w:r w:rsidRPr="009C086F">
        <w:rPr>
          <w:spacing w:val="4"/>
          <w:sz w:val="24"/>
          <w:szCs w:val="24"/>
          <w:lang w:eastAsia="zh-HK"/>
        </w:rPr>
        <w:t>the “</w:t>
      </w:r>
      <w:r w:rsidRPr="009C086F">
        <w:rPr>
          <w:b/>
          <w:bCs/>
          <w:spacing w:val="4"/>
          <w:sz w:val="24"/>
          <w:szCs w:val="24"/>
          <w:lang w:eastAsia="zh-HK"/>
        </w:rPr>
        <w:t>Announcements</w:t>
      </w:r>
      <w:r w:rsidRPr="009C086F">
        <w:rPr>
          <w:spacing w:val="4"/>
          <w:sz w:val="24"/>
          <w:szCs w:val="24"/>
          <w:lang w:eastAsia="zh-HK"/>
        </w:rPr>
        <w:t>”). Unless</w:t>
      </w:r>
      <w:r>
        <w:rPr>
          <w:spacing w:val="4"/>
          <w:sz w:val="24"/>
          <w:szCs w:val="24"/>
          <w:lang w:eastAsia="zh-HK"/>
        </w:rPr>
        <w:t xml:space="preserve"> otherwise defined, capitalised terms used herein shall have the same meanings as those defined in the Announcements.</w:t>
      </w:r>
    </w:p>
    <w:p w14:paraId="1A76A48E" w14:textId="77777777" w:rsidR="000B2054" w:rsidRDefault="000B2054" w:rsidP="000B2054">
      <w:pPr>
        <w:jc w:val="both"/>
        <w:rPr>
          <w:spacing w:val="4"/>
          <w:sz w:val="24"/>
          <w:szCs w:val="24"/>
          <w:lang w:eastAsia="zh-HK"/>
        </w:rPr>
      </w:pPr>
    </w:p>
    <w:p w14:paraId="54938B9D" w14:textId="77777777" w:rsidR="000B2054" w:rsidRDefault="000B2054" w:rsidP="000B2054">
      <w:pPr>
        <w:tabs>
          <w:tab w:val="left" w:pos="420"/>
        </w:tabs>
        <w:autoSpaceDE w:val="0"/>
        <w:autoSpaceDN w:val="0"/>
        <w:adjustRightInd w:val="0"/>
        <w:spacing w:line="240" w:lineRule="auto"/>
        <w:jc w:val="both"/>
        <w:rPr>
          <w:b/>
          <w:bCs/>
          <w:spacing w:val="4"/>
          <w:sz w:val="24"/>
          <w:szCs w:val="24"/>
          <w:lang w:eastAsia="zh-HK"/>
        </w:rPr>
      </w:pPr>
      <w:r>
        <w:rPr>
          <w:b/>
          <w:bCs/>
          <w:spacing w:val="4"/>
          <w:sz w:val="24"/>
          <w:szCs w:val="24"/>
          <w:lang w:eastAsia="zh-HK"/>
        </w:rPr>
        <w:t>UPDATE ON BUSINESS OPERATIONS</w:t>
      </w:r>
    </w:p>
    <w:p w14:paraId="3B5FF06F" w14:textId="77777777" w:rsidR="000B2054" w:rsidRDefault="000B2054" w:rsidP="000B2054">
      <w:pPr>
        <w:tabs>
          <w:tab w:val="left" w:pos="420"/>
        </w:tabs>
        <w:autoSpaceDE w:val="0"/>
        <w:autoSpaceDN w:val="0"/>
        <w:adjustRightInd w:val="0"/>
        <w:spacing w:line="240" w:lineRule="auto"/>
        <w:jc w:val="both"/>
        <w:rPr>
          <w:b/>
          <w:bCs/>
          <w:spacing w:val="4"/>
          <w:sz w:val="24"/>
          <w:szCs w:val="24"/>
          <w:lang w:eastAsia="zh-HK"/>
        </w:rPr>
      </w:pPr>
    </w:p>
    <w:p w14:paraId="3B99BA8A" w14:textId="25FDC623" w:rsidR="00AA6871" w:rsidRDefault="00622794">
      <w:pPr>
        <w:tabs>
          <w:tab w:val="left" w:pos="420"/>
        </w:tabs>
        <w:autoSpaceDE w:val="0"/>
        <w:autoSpaceDN w:val="0"/>
        <w:adjustRightInd w:val="0"/>
        <w:spacing w:line="240" w:lineRule="auto"/>
        <w:jc w:val="both"/>
        <w:rPr>
          <w:spacing w:val="4"/>
          <w:sz w:val="24"/>
          <w:szCs w:val="24"/>
          <w:lang w:eastAsia="zh-HK"/>
        </w:rPr>
      </w:pPr>
      <w:r>
        <w:rPr>
          <w:spacing w:val="4"/>
          <w:sz w:val="24"/>
          <w:szCs w:val="24"/>
          <w:lang w:eastAsia="zh-HK"/>
        </w:rPr>
        <w:t>As disclosed in the Resumption Status Announcement</w:t>
      </w:r>
      <w:r w:rsidR="004F61E4">
        <w:rPr>
          <w:spacing w:val="4"/>
          <w:sz w:val="24"/>
          <w:szCs w:val="24"/>
          <w:lang w:eastAsia="zh-HK"/>
        </w:rPr>
        <w:t>s</w:t>
      </w:r>
      <w:r>
        <w:rPr>
          <w:spacing w:val="4"/>
          <w:sz w:val="24"/>
          <w:szCs w:val="24"/>
          <w:lang w:eastAsia="zh-HK"/>
        </w:rPr>
        <w:t>, t</w:t>
      </w:r>
      <w:r w:rsidR="000B2054">
        <w:rPr>
          <w:spacing w:val="4"/>
          <w:sz w:val="24"/>
          <w:szCs w:val="24"/>
          <w:lang w:eastAsia="zh-HK"/>
        </w:rPr>
        <w:t xml:space="preserve">he Group is principally engaged in cold chain food integrated distribution in </w:t>
      </w:r>
      <w:r>
        <w:rPr>
          <w:spacing w:val="4"/>
          <w:sz w:val="24"/>
          <w:szCs w:val="24"/>
          <w:lang w:eastAsia="zh-HK"/>
        </w:rPr>
        <w:t>the PRC</w:t>
      </w:r>
      <w:r w:rsidR="00F20D00" w:rsidRPr="00923ACF">
        <w:rPr>
          <w:spacing w:val="4"/>
          <w:sz w:val="24"/>
          <w:szCs w:val="24"/>
          <w:lang w:eastAsia="zh-HK"/>
        </w:rPr>
        <w:t>.</w:t>
      </w:r>
      <w:r w:rsidR="000B2054">
        <w:rPr>
          <w:spacing w:val="4"/>
          <w:sz w:val="24"/>
          <w:szCs w:val="24"/>
          <w:lang w:eastAsia="zh-HK"/>
        </w:rPr>
        <w:t xml:space="preserve"> </w:t>
      </w:r>
      <w:r w:rsidR="00923ACF" w:rsidRPr="00923ACF">
        <w:rPr>
          <w:spacing w:val="4"/>
          <w:sz w:val="24"/>
          <w:szCs w:val="24"/>
          <w:lang w:eastAsia="zh-HK"/>
        </w:rPr>
        <w:t>Following the impact of COVID-19</w:t>
      </w:r>
      <w:r w:rsidR="00DD74EE">
        <w:rPr>
          <w:spacing w:val="4"/>
          <w:sz w:val="24"/>
          <w:szCs w:val="24"/>
          <w:lang w:eastAsia="zh-HK"/>
        </w:rPr>
        <w:t xml:space="preserve"> pandemic</w:t>
      </w:r>
      <w:r w:rsidR="00923ACF" w:rsidRPr="00923ACF">
        <w:rPr>
          <w:spacing w:val="4"/>
          <w:sz w:val="24"/>
          <w:szCs w:val="24"/>
          <w:lang w:eastAsia="zh-HK"/>
        </w:rPr>
        <w:t xml:space="preserve"> </w:t>
      </w:r>
      <w:r w:rsidR="00B72B38">
        <w:rPr>
          <w:spacing w:val="4"/>
          <w:sz w:val="24"/>
          <w:szCs w:val="24"/>
          <w:lang w:eastAsia="zh-HK"/>
        </w:rPr>
        <w:t>during</w:t>
      </w:r>
      <w:r w:rsidR="00923ACF" w:rsidRPr="00923ACF">
        <w:rPr>
          <w:spacing w:val="4"/>
          <w:sz w:val="24"/>
          <w:szCs w:val="24"/>
          <w:lang w:eastAsia="zh-HK"/>
        </w:rPr>
        <w:t xml:space="preserve"> 2020</w:t>
      </w:r>
      <w:r w:rsidR="00B72B38">
        <w:rPr>
          <w:spacing w:val="4"/>
          <w:sz w:val="24"/>
          <w:szCs w:val="24"/>
          <w:lang w:eastAsia="zh-HK"/>
        </w:rPr>
        <w:t xml:space="preserve"> and 2021</w:t>
      </w:r>
      <w:r w:rsidR="00923ACF" w:rsidRPr="00923ACF">
        <w:rPr>
          <w:spacing w:val="4"/>
          <w:sz w:val="24"/>
          <w:szCs w:val="24"/>
          <w:lang w:eastAsia="zh-HK"/>
        </w:rPr>
        <w:t xml:space="preserve">, the Group </w:t>
      </w:r>
      <w:r w:rsidR="00DD74EE">
        <w:rPr>
          <w:spacing w:val="4"/>
          <w:sz w:val="24"/>
          <w:szCs w:val="24"/>
          <w:lang w:eastAsia="zh-HK"/>
        </w:rPr>
        <w:t>had gradually closed</w:t>
      </w:r>
      <w:r w:rsidR="00923ACF" w:rsidRPr="00923ACF">
        <w:rPr>
          <w:spacing w:val="4"/>
          <w:sz w:val="24"/>
          <w:szCs w:val="24"/>
          <w:lang w:eastAsia="zh-HK"/>
        </w:rPr>
        <w:t xml:space="preserve"> a number of its branch offices </w:t>
      </w:r>
      <w:r w:rsidR="00DD74EE">
        <w:rPr>
          <w:spacing w:val="4"/>
          <w:sz w:val="24"/>
          <w:szCs w:val="24"/>
          <w:lang w:eastAsia="zh-HK"/>
        </w:rPr>
        <w:t>since</w:t>
      </w:r>
      <w:r w:rsidR="00923ACF" w:rsidRPr="00923ACF">
        <w:rPr>
          <w:spacing w:val="4"/>
          <w:sz w:val="24"/>
          <w:szCs w:val="24"/>
          <w:lang w:eastAsia="zh-HK"/>
        </w:rPr>
        <w:t xml:space="preserve"> December 2020, including the Wuhan, Shenzhen and Chengdu</w:t>
      </w:r>
      <w:r w:rsidR="00DD74EE">
        <w:rPr>
          <w:spacing w:val="4"/>
          <w:sz w:val="24"/>
          <w:szCs w:val="24"/>
          <w:lang w:eastAsia="zh-HK"/>
        </w:rPr>
        <w:t xml:space="preserve"> branch offices, in order to lower operation</w:t>
      </w:r>
      <w:r w:rsidR="00923ACF" w:rsidRPr="00923ACF">
        <w:rPr>
          <w:spacing w:val="4"/>
          <w:sz w:val="24"/>
          <w:szCs w:val="24"/>
          <w:lang w:eastAsia="zh-HK"/>
        </w:rPr>
        <w:t xml:space="preserve"> </w:t>
      </w:r>
      <w:r>
        <w:rPr>
          <w:spacing w:val="4"/>
          <w:sz w:val="24"/>
          <w:szCs w:val="24"/>
          <w:lang w:eastAsia="zh-HK"/>
        </w:rPr>
        <w:t>costs</w:t>
      </w:r>
      <w:r w:rsidR="00923ACF" w:rsidRPr="00923ACF">
        <w:rPr>
          <w:spacing w:val="4"/>
          <w:sz w:val="24"/>
          <w:szCs w:val="24"/>
          <w:lang w:eastAsia="zh-HK"/>
        </w:rPr>
        <w:t xml:space="preserve"> and improve management efficiency. D</w:t>
      </w:r>
      <w:r w:rsidR="00AA6871">
        <w:rPr>
          <w:spacing w:val="4"/>
          <w:sz w:val="24"/>
          <w:szCs w:val="24"/>
          <w:lang w:eastAsia="zh-HK"/>
        </w:rPr>
        <w:t>uring 2021, d</w:t>
      </w:r>
      <w:r w:rsidR="00923ACF" w:rsidRPr="00923ACF">
        <w:rPr>
          <w:spacing w:val="4"/>
          <w:sz w:val="24"/>
          <w:szCs w:val="24"/>
          <w:lang w:eastAsia="zh-HK"/>
        </w:rPr>
        <w:t>espite the suspension</w:t>
      </w:r>
      <w:r w:rsidR="00DD74EE">
        <w:rPr>
          <w:spacing w:val="4"/>
          <w:sz w:val="24"/>
          <w:szCs w:val="24"/>
          <w:lang w:eastAsia="zh-HK"/>
        </w:rPr>
        <w:t xml:space="preserve"> of trading of Shares</w:t>
      </w:r>
      <w:r w:rsidR="00923ACF" w:rsidRPr="00923ACF">
        <w:rPr>
          <w:spacing w:val="4"/>
          <w:sz w:val="24"/>
          <w:szCs w:val="24"/>
          <w:lang w:eastAsia="zh-HK"/>
        </w:rPr>
        <w:t xml:space="preserve">, the Group’s business has </w:t>
      </w:r>
      <w:r w:rsidR="00AA6871" w:rsidRPr="00923ACF">
        <w:rPr>
          <w:spacing w:val="4"/>
          <w:sz w:val="24"/>
          <w:szCs w:val="24"/>
          <w:lang w:eastAsia="zh-HK"/>
        </w:rPr>
        <w:t xml:space="preserve">the Group’s business development has been focused </w:t>
      </w:r>
      <w:r w:rsidR="00AA6871">
        <w:rPr>
          <w:spacing w:val="4"/>
          <w:sz w:val="24"/>
          <w:szCs w:val="24"/>
          <w:lang w:eastAsia="zh-HK"/>
        </w:rPr>
        <w:t>on</w:t>
      </w:r>
      <w:r w:rsidR="00AA6871" w:rsidRPr="00923ACF">
        <w:rPr>
          <w:spacing w:val="4"/>
          <w:sz w:val="24"/>
          <w:szCs w:val="24"/>
          <w:lang w:eastAsia="zh-HK"/>
        </w:rPr>
        <w:t xml:space="preserve"> Shanghai and </w:t>
      </w:r>
      <w:r w:rsidR="00AA6871">
        <w:rPr>
          <w:spacing w:val="4"/>
          <w:sz w:val="24"/>
          <w:szCs w:val="24"/>
          <w:lang w:eastAsia="zh-HK"/>
        </w:rPr>
        <w:t>other</w:t>
      </w:r>
      <w:r w:rsidR="00AA6871" w:rsidRPr="00923ACF">
        <w:rPr>
          <w:spacing w:val="4"/>
          <w:sz w:val="24"/>
          <w:szCs w:val="24"/>
          <w:lang w:eastAsia="zh-HK"/>
        </w:rPr>
        <w:t xml:space="preserve"> regions</w:t>
      </w:r>
      <w:r w:rsidR="00AA6871">
        <w:rPr>
          <w:spacing w:val="4"/>
          <w:sz w:val="24"/>
          <w:szCs w:val="24"/>
          <w:lang w:eastAsia="zh-HK"/>
        </w:rPr>
        <w:t>, and the Group’s business has remained steady and maintained a similar percentage of gross profit as compared to the same period in 2020.</w:t>
      </w:r>
    </w:p>
    <w:p w14:paraId="6947B741" w14:textId="77777777" w:rsidR="00494949" w:rsidRDefault="00494949">
      <w:pPr>
        <w:tabs>
          <w:tab w:val="left" w:pos="420"/>
        </w:tabs>
        <w:autoSpaceDE w:val="0"/>
        <w:autoSpaceDN w:val="0"/>
        <w:adjustRightInd w:val="0"/>
        <w:spacing w:line="240" w:lineRule="auto"/>
        <w:jc w:val="both"/>
        <w:rPr>
          <w:spacing w:val="4"/>
          <w:sz w:val="24"/>
          <w:szCs w:val="24"/>
          <w:lang w:eastAsia="zh-HK"/>
        </w:rPr>
      </w:pPr>
    </w:p>
    <w:p w14:paraId="27C51BFE" w14:textId="1A679120" w:rsidR="002B1EDF" w:rsidRPr="00494949" w:rsidRDefault="00494949">
      <w:pPr>
        <w:tabs>
          <w:tab w:val="left" w:pos="420"/>
        </w:tabs>
        <w:autoSpaceDE w:val="0"/>
        <w:autoSpaceDN w:val="0"/>
        <w:adjustRightInd w:val="0"/>
        <w:spacing w:line="240" w:lineRule="auto"/>
        <w:jc w:val="both"/>
        <w:rPr>
          <w:rFonts w:eastAsiaTheme="minorEastAsia"/>
          <w:b/>
          <w:bCs/>
          <w:spacing w:val="4"/>
          <w:sz w:val="24"/>
          <w:szCs w:val="24"/>
          <w:lang w:eastAsia="zh-CN"/>
        </w:rPr>
      </w:pPr>
      <w:r w:rsidRPr="00494949">
        <w:rPr>
          <w:rFonts w:eastAsiaTheme="minorEastAsia"/>
          <w:b/>
          <w:bCs/>
          <w:spacing w:val="4"/>
          <w:sz w:val="24"/>
          <w:szCs w:val="24"/>
          <w:lang w:eastAsia="zh-CN"/>
        </w:rPr>
        <w:t>RESUMPTION PLAN</w:t>
      </w:r>
    </w:p>
    <w:p w14:paraId="2C3AFB3A" w14:textId="7F4E22C8" w:rsidR="00494949" w:rsidRPr="00887799" w:rsidRDefault="00494949">
      <w:pPr>
        <w:tabs>
          <w:tab w:val="left" w:pos="420"/>
        </w:tabs>
        <w:autoSpaceDE w:val="0"/>
        <w:autoSpaceDN w:val="0"/>
        <w:adjustRightInd w:val="0"/>
        <w:spacing w:line="240" w:lineRule="auto"/>
        <w:jc w:val="both"/>
        <w:rPr>
          <w:rFonts w:eastAsia="PMingLiU" w:hint="eastAsia"/>
          <w:spacing w:val="4"/>
          <w:sz w:val="24"/>
          <w:szCs w:val="24"/>
          <w:lang w:eastAsia="zh-TW"/>
        </w:rPr>
      </w:pPr>
    </w:p>
    <w:p w14:paraId="7399619E" w14:textId="72C3AECB" w:rsidR="00494949" w:rsidRDefault="00494949" w:rsidP="00494949">
      <w:pPr>
        <w:tabs>
          <w:tab w:val="left" w:pos="420"/>
        </w:tabs>
        <w:autoSpaceDE w:val="0"/>
        <w:autoSpaceDN w:val="0"/>
        <w:adjustRightInd w:val="0"/>
        <w:spacing w:line="240" w:lineRule="auto"/>
        <w:jc w:val="both"/>
        <w:rPr>
          <w:rFonts w:eastAsiaTheme="minorEastAsia"/>
          <w:spacing w:val="4"/>
          <w:sz w:val="24"/>
          <w:szCs w:val="24"/>
          <w:lang w:eastAsia="zh-CN"/>
        </w:rPr>
      </w:pPr>
      <w:r w:rsidRPr="00494949">
        <w:rPr>
          <w:rFonts w:eastAsiaTheme="minorEastAsia"/>
          <w:spacing w:val="4"/>
          <w:sz w:val="24"/>
          <w:szCs w:val="24"/>
          <w:lang w:eastAsia="zh-CN"/>
        </w:rPr>
        <w:t>In order to satisfy the requirements under the Resumption Guidance, the Company</w:t>
      </w:r>
      <w:r>
        <w:rPr>
          <w:rFonts w:eastAsiaTheme="minorEastAsia"/>
          <w:spacing w:val="4"/>
          <w:sz w:val="24"/>
          <w:szCs w:val="24"/>
          <w:lang w:eastAsia="zh-CN"/>
        </w:rPr>
        <w:t xml:space="preserve"> </w:t>
      </w:r>
      <w:r w:rsidRPr="00494949">
        <w:rPr>
          <w:rFonts w:eastAsiaTheme="minorEastAsia"/>
          <w:spacing w:val="4"/>
          <w:sz w:val="24"/>
          <w:szCs w:val="24"/>
          <w:lang w:eastAsia="zh-CN"/>
        </w:rPr>
        <w:t>will continue to work with its professional advisors to advance the resumption</w:t>
      </w:r>
      <w:r>
        <w:rPr>
          <w:rFonts w:eastAsiaTheme="minorEastAsia"/>
          <w:spacing w:val="4"/>
          <w:sz w:val="24"/>
          <w:szCs w:val="24"/>
          <w:lang w:eastAsia="zh-CN"/>
        </w:rPr>
        <w:t xml:space="preserve"> </w:t>
      </w:r>
      <w:r w:rsidRPr="00494949">
        <w:rPr>
          <w:rFonts w:eastAsiaTheme="minorEastAsia"/>
          <w:spacing w:val="4"/>
          <w:sz w:val="24"/>
          <w:szCs w:val="24"/>
          <w:lang w:eastAsia="zh-CN"/>
        </w:rPr>
        <w:t>progress (this includes plan for debt restructuring, injection of new businesses and</w:t>
      </w:r>
      <w:r>
        <w:rPr>
          <w:rFonts w:eastAsiaTheme="minorEastAsia"/>
          <w:spacing w:val="4"/>
          <w:sz w:val="24"/>
          <w:szCs w:val="24"/>
          <w:lang w:eastAsia="zh-CN"/>
        </w:rPr>
        <w:t xml:space="preserve"> </w:t>
      </w:r>
      <w:r w:rsidRPr="00494949">
        <w:rPr>
          <w:rFonts w:eastAsiaTheme="minorEastAsia"/>
          <w:spacing w:val="4"/>
          <w:sz w:val="24"/>
          <w:szCs w:val="24"/>
          <w:lang w:eastAsia="zh-CN"/>
        </w:rPr>
        <w:t>third party’s investment funds and etc.) and will make further announcement(s) in</w:t>
      </w:r>
      <w:r>
        <w:rPr>
          <w:rFonts w:eastAsiaTheme="minorEastAsia"/>
          <w:spacing w:val="4"/>
          <w:sz w:val="24"/>
          <w:szCs w:val="24"/>
          <w:lang w:eastAsia="zh-CN"/>
        </w:rPr>
        <w:t xml:space="preserve"> </w:t>
      </w:r>
      <w:r w:rsidRPr="00494949">
        <w:rPr>
          <w:rFonts w:eastAsiaTheme="minorEastAsia"/>
          <w:spacing w:val="4"/>
          <w:sz w:val="24"/>
          <w:szCs w:val="24"/>
          <w:lang w:eastAsia="zh-CN"/>
        </w:rPr>
        <w:t>relation to its business operations and the status of resumption as and when</w:t>
      </w:r>
      <w:r>
        <w:rPr>
          <w:rFonts w:eastAsiaTheme="minorEastAsia"/>
          <w:spacing w:val="4"/>
          <w:sz w:val="24"/>
          <w:szCs w:val="24"/>
          <w:lang w:eastAsia="zh-CN"/>
        </w:rPr>
        <w:t xml:space="preserve"> </w:t>
      </w:r>
      <w:r w:rsidRPr="00494949">
        <w:rPr>
          <w:rFonts w:eastAsiaTheme="minorEastAsia"/>
          <w:spacing w:val="4"/>
          <w:sz w:val="24"/>
          <w:szCs w:val="24"/>
          <w:lang w:eastAsia="zh-CN"/>
        </w:rPr>
        <w:t>appropriate to keep the Company’s shareholders and potential investors informed.</w:t>
      </w:r>
    </w:p>
    <w:p w14:paraId="4BA61EB9" w14:textId="77777777" w:rsidR="00494949" w:rsidRPr="000B2054" w:rsidRDefault="00494949" w:rsidP="00494949">
      <w:pPr>
        <w:tabs>
          <w:tab w:val="left" w:pos="420"/>
        </w:tabs>
        <w:autoSpaceDE w:val="0"/>
        <w:autoSpaceDN w:val="0"/>
        <w:adjustRightInd w:val="0"/>
        <w:spacing w:line="240" w:lineRule="auto"/>
        <w:jc w:val="both"/>
        <w:rPr>
          <w:rFonts w:eastAsiaTheme="minorEastAsia"/>
          <w:spacing w:val="4"/>
          <w:sz w:val="24"/>
          <w:szCs w:val="24"/>
          <w:lang w:eastAsia="zh-CN"/>
        </w:rPr>
      </w:pPr>
    </w:p>
    <w:p w14:paraId="480E79B4" w14:textId="77777777" w:rsidR="000B2054" w:rsidRDefault="000B2054" w:rsidP="000B2054">
      <w:pPr>
        <w:tabs>
          <w:tab w:val="left" w:pos="420"/>
        </w:tabs>
        <w:autoSpaceDE w:val="0"/>
        <w:autoSpaceDN w:val="0"/>
        <w:adjustRightInd w:val="0"/>
        <w:spacing w:line="240" w:lineRule="auto"/>
        <w:jc w:val="both"/>
        <w:rPr>
          <w:b/>
          <w:bCs/>
          <w:spacing w:val="4"/>
          <w:sz w:val="24"/>
          <w:szCs w:val="24"/>
          <w:lang w:eastAsia="zh-HK"/>
        </w:rPr>
      </w:pPr>
      <w:r>
        <w:rPr>
          <w:b/>
          <w:bCs/>
          <w:spacing w:val="4"/>
          <w:sz w:val="24"/>
          <w:szCs w:val="24"/>
          <w:lang w:eastAsia="zh-HK"/>
        </w:rPr>
        <w:t>UPDATE ON STATUS OF RESUMPTION</w:t>
      </w:r>
    </w:p>
    <w:p w14:paraId="6E5FC741" w14:textId="77777777" w:rsidR="000B2054" w:rsidRDefault="000B2054" w:rsidP="000B2054">
      <w:pPr>
        <w:tabs>
          <w:tab w:val="left" w:pos="420"/>
        </w:tabs>
        <w:autoSpaceDE w:val="0"/>
        <w:autoSpaceDN w:val="0"/>
        <w:adjustRightInd w:val="0"/>
        <w:spacing w:line="240" w:lineRule="auto"/>
        <w:jc w:val="both"/>
        <w:rPr>
          <w:b/>
          <w:bCs/>
          <w:spacing w:val="4"/>
          <w:sz w:val="24"/>
          <w:szCs w:val="24"/>
          <w:lang w:eastAsia="zh-HK"/>
        </w:rPr>
      </w:pPr>
    </w:p>
    <w:p w14:paraId="6B6BF2C9" w14:textId="77777777" w:rsidR="000B2054" w:rsidRDefault="000B2054" w:rsidP="000B2054">
      <w:pPr>
        <w:tabs>
          <w:tab w:val="left" w:pos="420"/>
        </w:tabs>
        <w:autoSpaceDE w:val="0"/>
        <w:autoSpaceDN w:val="0"/>
        <w:adjustRightInd w:val="0"/>
        <w:spacing w:line="240" w:lineRule="auto"/>
        <w:jc w:val="both"/>
        <w:rPr>
          <w:b/>
          <w:bCs/>
          <w:i/>
          <w:iCs/>
          <w:spacing w:val="4"/>
          <w:sz w:val="24"/>
          <w:szCs w:val="24"/>
          <w:lang w:eastAsia="zh-HK"/>
        </w:rPr>
      </w:pPr>
      <w:r>
        <w:rPr>
          <w:b/>
          <w:bCs/>
          <w:spacing w:val="4"/>
          <w:sz w:val="24"/>
          <w:szCs w:val="24"/>
          <w:lang w:eastAsia="zh-HK"/>
        </w:rPr>
        <w:t xml:space="preserve">Publication of all outstanding financial results </w:t>
      </w:r>
    </w:p>
    <w:p w14:paraId="274DF1B2" w14:textId="77777777" w:rsidR="000B2054" w:rsidRDefault="000B2054" w:rsidP="000B2054">
      <w:pPr>
        <w:tabs>
          <w:tab w:val="left" w:pos="420"/>
        </w:tabs>
        <w:autoSpaceDE w:val="0"/>
        <w:autoSpaceDN w:val="0"/>
        <w:adjustRightInd w:val="0"/>
        <w:spacing w:line="240" w:lineRule="auto"/>
        <w:jc w:val="both"/>
        <w:rPr>
          <w:spacing w:val="4"/>
          <w:sz w:val="24"/>
          <w:szCs w:val="24"/>
          <w:lang w:eastAsia="zh-HK"/>
        </w:rPr>
      </w:pPr>
    </w:p>
    <w:p w14:paraId="78D6375D" w14:textId="4B468767" w:rsidR="00B72AB4" w:rsidRPr="00504871" w:rsidRDefault="00B72AB4" w:rsidP="00B72AB4">
      <w:pPr>
        <w:tabs>
          <w:tab w:val="left" w:pos="420"/>
        </w:tabs>
        <w:autoSpaceDE w:val="0"/>
        <w:autoSpaceDN w:val="0"/>
        <w:adjustRightInd w:val="0"/>
        <w:spacing w:line="240" w:lineRule="auto"/>
        <w:jc w:val="both"/>
        <w:rPr>
          <w:spacing w:val="4"/>
          <w:sz w:val="24"/>
          <w:szCs w:val="24"/>
          <w:lang w:val="en-US" w:eastAsia="zh-HK"/>
        </w:rPr>
      </w:pPr>
      <w:r w:rsidRPr="004B22A3">
        <w:rPr>
          <w:spacing w:val="4"/>
          <w:sz w:val="24"/>
          <w:szCs w:val="24"/>
          <w:lang w:eastAsia="zh-HK"/>
        </w:rPr>
        <w:t>As disclosed in the Delay Announcements, publication of the 2021 Annual Results is delayed as additional time is required by the Auditor to perform and complete the audit work, including obtaining all the necessary confirmations from stakeholders and certain other audit procedures on matters of the disposal companies. In order to assist the Auditor in the abovementioned outstanding audit work, the Company has</w:t>
      </w:r>
      <w:r w:rsidR="004159F9" w:rsidRPr="004B22A3">
        <w:rPr>
          <w:spacing w:val="4"/>
          <w:sz w:val="24"/>
          <w:szCs w:val="24"/>
          <w:lang w:eastAsia="zh-HK"/>
        </w:rPr>
        <w:t>,</w:t>
      </w:r>
      <w:r w:rsidRPr="004B22A3">
        <w:rPr>
          <w:spacing w:val="4"/>
          <w:sz w:val="24"/>
          <w:szCs w:val="24"/>
          <w:lang w:eastAsia="zh-HK"/>
        </w:rPr>
        <w:t xml:space="preserve"> </w:t>
      </w:r>
      <w:r w:rsidR="004159F9" w:rsidRPr="00504871">
        <w:rPr>
          <w:i/>
          <w:spacing w:val="4"/>
          <w:sz w:val="24"/>
          <w:szCs w:val="24"/>
          <w:lang w:eastAsia="zh-HK"/>
        </w:rPr>
        <w:t>inter alia</w:t>
      </w:r>
      <w:r w:rsidR="004159F9" w:rsidRPr="004B22A3">
        <w:rPr>
          <w:spacing w:val="4"/>
          <w:sz w:val="24"/>
          <w:szCs w:val="24"/>
          <w:lang w:eastAsia="zh-HK"/>
        </w:rPr>
        <w:t xml:space="preserve">, </w:t>
      </w:r>
      <w:r w:rsidRPr="004B22A3">
        <w:rPr>
          <w:spacing w:val="4"/>
          <w:sz w:val="24"/>
          <w:szCs w:val="24"/>
          <w:lang w:eastAsia="zh-HK"/>
        </w:rPr>
        <w:t xml:space="preserve">provided </w:t>
      </w:r>
      <w:r w:rsidR="006952E9">
        <w:rPr>
          <w:spacing w:val="4"/>
          <w:sz w:val="24"/>
          <w:szCs w:val="24"/>
          <w:lang w:eastAsia="zh-HK"/>
        </w:rPr>
        <w:t xml:space="preserve">relevant </w:t>
      </w:r>
      <w:r w:rsidRPr="004B22A3">
        <w:rPr>
          <w:spacing w:val="4"/>
          <w:sz w:val="24"/>
          <w:szCs w:val="24"/>
          <w:lang w:eastAsia="zh-HK"/>
        </w:rPr>
        <w:t>supportin</w:t>
      </w:r>
      <w:r w:rsidRPr="006952E9">
        <w:rPr>
          <w:spacing w:val="4"/>
          <w:sz w:val="24"/>
          <w:szCs w:val="24"/>
          <w:lang w:eastAsia="zh-HK"/>
        </w:rPr>
        <w:t xml:space="preserve">g documents </w:t>
      </w:r>
      <w:r w:rsidR="004159F9" w:rsidRPr="004B22A3">
        <w:rPr>
          <w:spacing w:val="4"/>
          <w:sz w:val="24"/>
          <w:szCs w:val="24"/>
          <w:lang w:eastAsia="zh-HK"/>
        </w:rPr>
        <w:t xml:space="preserve">and </w:t>
      </w:r>
      <w:r w:rsidR="00561195" w:rsidRPr="004B22A3">
        <w:rPr>
          <w:spacing w:val="4"/>
          <w:sz w:val="24"/>
          <w:szCs w:val="24"/>
          <w:lang w:eastAsia="zh-HK"/>
        </w:rPr>
        <w:t>attempted to obtain confirmation letters from relevant parties</w:t>
      </w:r>
      <w:r w:rsidR="004159F9" w:rsidRPr="004B22A3">
        <w:rPr>
          <w:spacing w:val="4"/>
          <w:sz w:val="24"/>
          <w:szCs w:val="24"/>
          <w:lang w:eastAsia="zh-HK"/>
        </w:rPr>
        <w:t>.</w:t>
      </w:r>
    </w:p>
    <w:p w14:paraId="036CDBCC" w14:textId="77777777" w:rsidR="00B72AB4" w:rsidRDefault="00B72AB4" w:rsidP="00B72AB4">
      <w:pPr>
        <w:tabs>
          <w:tab w:val="left" w:pos="420"/>
        </w:tabs>
        <w:autoSpaceDE w:val="0"/>
        <w:autoSpaceDN w:val="0"/>
        <w:adjustRightInd w:val="0"/>
        <w:spacing w:line="240" w:lineRule="auto"/>
        <w:jc w:val="both"/>
        <w:rPr>
          <w:spacing w:val="4"/>
          <w:sz w:val="24"/>
          <w:szCs w:val="24"/>
          <w:lang w:eastAsia="zh-HK"/>
        </w:rPr>
      </w:pPr>
    </w:p>
    <w:p w14:paraId="3A8EFBF0" w14:textId="649A8316" w:rsidR="000B2054" w:rsidRDefault="00316C3E" w:rsidP="000B2054">
      <w:pPr>
        <w:tabs>
          <w:tab w:val="left" w:pos="420"/>
        </w:tabs>
        <w:autoSpaceDE w:val="0"/>
        <w:autoSpaceDN w:val="0"/>
        <w:adjustRightInd w:val="0"/>
        <w:spacing w:line="240" w:lineRule="auto"/>
        <w:jc w:val="both"/>
        <w:rPr>
          <w:spacing w:val="4"/>
          <w:sz w:val="24"/>
          <w:szCs w:val="24"/>
          <w:lang w:eastAsia="zh-HK"/>
        </w:rPr>
      </w:pPr>
      <w:r>
        <w:rPr>
          <w:spacing w:val="4"/>
          <w:sz w:val="24"/>
          <w:szCs w:val="24"/>
          <w:lang w:eastAsia="zh-HK"/>
        </w:rPr>
        <w:t xml:space="preserve">In addition, the recent COVID-19 </w:t>
      </w:r>
      <w:r w:rsidR="00AA6871">
        <w:rPr>
          <w:spacing w:val="4"/>
          <w:sz w:val="24"/>
          <w:szCs w:val="24"/>
          <w:lang w:eastAsia="zh-HK"/>
        </w:rPr>
        <w:t xml:space="preserve">pandemic </w:t>
      </w:r>
      <w:r>
        <w:rPr>
          <w:spacing w:val="4"/>
          <w:sz w:val="24"/>
          <w:szCs w:val="24"/>
          <w:lang w:eastAsia="zh-HK"/>
        </w:rPr>
        <w:t>containment measures in Shanghai</w:t>
      </w:r>
      <w:r w:rsidR="00835F7C">
        <w:rPr>
          <w:spacing w:val="4"/>
          <w:sz w:val="24"/>
          <w:szCs w:val="24"/>
          <w:lang w:eastAsia="zh-HK"/>
        </w:rPr>
        <w:t xml:space="preserve"> </w:t>
      </w:r>
      <w:r>
        <w:rPr>
          <w:spacing w:val="4"/>
          <w:sz w:val="24"/>
          <w:szCs w:val="24"/>
          <w:lang w:eastAsia="zh-HK"/>
        </w:rPr>
        <w:t>pose greater difficulty in the audit work to be conducted by the Auditor, which has led to a further delay of the publication of the 2021 Annual Results and the 2021 Annual Report. T</w:t>
      </w:r>
      <w:r w:rsidR="000B2054">
        <w:rPr>
          <w:spacing w:val="4"/>
          <w:sz w:val="24"/>
          <w:szCs w:val="24"/>
          <w:lang w:eastAsia="zh-HK"/>
        </w:rPr>
        <w:t>he Company will continue to work with the Auditor to facilitate the publication of its outstanding financial results as soon as practicable and will publish further announcement(s) in this regard as and when appropriate.</w:t>
      </w:r>
    </w:p>
    <w:p w14:paraId="1A63EB93" w14:textId="77777777" w:rsidR="000B2054" w:rsidRDefault="000B2054" w:rsidP="000B2054">
      <w:pPr>
        <w:tabs>
          <w:tab w:val="left" w:pos="420"/>
        </w:tabs>
        <w:autoSpaceDE w:val="0"/>
        <w:autoSpaceDN w:val="0"/>
        <w:adjustRightInd w:val="0"/>
        <w:spacing w:line="240" w:lineRule="auto"/>
        <w:jc w:val="both"/>
        <w:rPr>
          <w:spacing w:val="4"/>
          <w:sz w:val="24"/>
          <w:szCs w:val="24"/>
          <w:lang w:eastAsia="zh-HK"/>
        </w:rPr>
      </w:pPr>
    </w:p>
    <w:p w14:paraId="42925813" w14:textId="77777777" w:rsidR="005E785D" w:rsidRDefault="005E785D">
      <w:pPr>
        <w:tabs>
          <w:tab w:val="clear" w:pos="709"/>
          <w:tab w:val="clear" w:pos="1559"/>
          <w:tab w:val="clear" w:pos="2268"/>
          <w:tab w:val="clear" w:pos="2977"/>
          <w:tab w:val="clear" w:pos="3686"/>
          <w:tab w:val="clear" w:pos="4394"/>
          <w:tab w:val="clear" w:pos="8789"/>
        </w:tabs>
        <w:spacing w:line="240" w:lineRule="auto"/>
        <w:rPr>
          <w:b/>
          <w:bCs/>
          <w:spacing w:val="4"/>
          <w:sz w:val="24"/>
          <w:szCs w:val="24"/>
          <w:lang w:eastAsia="zh-HK"/>
        </w:rPr>
      </w:pPr>
      <w:r>
        <w:rPr>
          <w:b/>
          <w:bCs/>
          <w:spacing w:val="4"/>
          <w:sz w:val="24"/>
          <w:szCs w:val="24"/>
          <w:lang w:eastAsia="zh-HK"/>
        </w:rPr>
        <w:br w:type="page"/>
      </w:r>
    </w:p>
    <w:p w14:paraId="06512186" w14:textId="249350E0" w:rsidR="000B2054" w:rsidRDefault="000B2054" w:rsidP="000B2054">
      <w:pPr>
        <w:tabs>
          <w:tab w:val="left" w:pos="420"/>
        </w:tabs>
        <w:autoSpaceDE w:val="0"/>
        <w:autoSpaceDN w:val="0"/>
        <w:adjustRightInd w:val="0"/>
        <w:spacing w:line="240" w:lineRule="auto"/>
        <w:jc w:val="both"/>
        <w:rPr>
          <w:b/>
          <w:bCs/>
          <w:spacing w:val="4"/>
          <w:sz w:val="24"/>
          <w:szCs w:val="24"/>
          <w:lang w:eastAsia="zh-HK"/>
        </w:rPr>
      </w:pPr>
      <w:r>
        <w:rPr>
          <w:b/>
          <w:bCs/>
          <w:spacing w:val="4"/>
          <w:sz w:val="24"/>
          <w:szCs w:val="24"/>
          <w:lang w:eastAsia="zh-HK"/>
        </w:rPr>
        <w:lastRenderedPageBreak/>
        <w:t>Compliance with other Listing Rules</w:t>
      </w:r>
    </w:p>
    <w:p w14:paraId="717FD137" w14:textId="77777777" w:rsidR="000B2054" w:rsidRDefault="000B2054" w:rsidP="000B2054">
      <w:pPr>
        <w:tabs>
          <w:tab w:val="left" w:pos="420"/>
        </w:tabs>
        <w:autoSpaceDE w:val="0"/>
        <w:autoSpaceDN w:val="0"/>
        <w:adjustRightInd w:val="0"/>
        <w:spacing w:line="240" w:lineRule="auto"/>
        <w:jc w:val="both"/>
        <w:rPr>
          <w:b/>
          <w:bCs/>
          <w:spacing w:val="4"/>
          <w:sz w:val="24"/>
          <w:szCs w:val="24"/>
          <w:lang w:eastAsia="zh-HK"/>
        </w:rPr>
      </w:pPr>
    </w:p>
    <w:p w14:paraId="4F8A2C62" w14:textId="074DF613" w:rsidR="000B2054" w:rsidRDefault="000B2054" w:rsidP="000B2054">
      <w:pPr>
        <w:tabs>
          <w:tab w:val="left" w:pos="420"/>
        </w:tabs>
        <w:autoSpaceDE w:val="0"/>
        <w:autoSpaceDN w:val="0"/>
        <w:adjustRightInd w:val="0"/>
        <w:spacing w:line="240" w:lineRule="auto"/>
        <w:jc w:val="both"/>
        <w:rPr>
          <w:spacing w:val="4"/>
          <w:sz w:val="24"/>
          <w:szCs w:val="24"/>
          <w:lang w:eastAsia="zh-HK"/>
        </w:rPr>
      </w:pPr>
      <w:r>
        <w:rPr>
          <w:spacing w:val="4"/>
          <w:sz w:val="24"/>
          <w:szCs w:val="24"/>
          <w:lang w:eastAsia="zh-HK"/>
        </w:rPr>
        <w:t>Reference</w:t>
      </w:r>
      <w:r w:rsidR="005C2BA9">
        <w:rPr>
          <w:spacing w:val="4"/>
          <w:sz w:val="24"/>
          <w:szCs w:val="24"/>
          <w:lang w:eastAsia="zh-HK"/>
        </w:rPr>
        <w:t xml:space="preserve">s are </w:t>
      </w:r>
      <w:r>
        <w:rPr>
          <w:spacing w:val="4"/>
          <w:sz w:val="24"/>
          <w:szCs w:val="24"/>
          <w:lang w:eastAsia="zh-HK"/>
        </w:rPr>
        <w:t>made to the announcements of the Company dated 1 June 2021</w:t>
      </w:r>
      <w:r w:rsidR="00B72B38">
        <w:rPr>
          <w:spacing w:val="4"/>
          <w:sz w:val="24"/>
          <w:szCs w:val="24"/>
          <w:lang w:eastAsia="zh-HK"/>
        </w:rPr>
        <w:t>,</w:t>
      </w:r>
      <w:r>
        <w:rPr>
          <w:spacing w:val="4"/>
          <w:sz w:val="24"/>
          <w:szCs w:val="24"/>
          <w:lang w:eastAsia="zh-HK"/>
        </w:rPr>
        <w:t xml:space="preserve"> 31 August 2021 </w:t>
      </w:r>
      <w:r w:rsidR="00B72B38">
        <w:rPr>
          <w:spacing w:val="4"/>
          <w:sz w:val="24"/>
          <w:szCs w:val="24"/>
          <w:lang w:eastAsia="zh-HK"/>
        </w:rPr>
        <w:t xml:space="preserve">and </w:t>
      </w:r>
      <w:r w:rsidR="00316C3E">
        <w:rPr>
          <w:spacing w:val="4"/>
          <w:sz w:val="24"/>
          <w:szCs w:val="24"/>
          <w:lang w:eastAsia="zh-HK"/>
        </w:rPr>
        <w:t>14</w:t>
      </w:r>
      <w:r w:rsidR="00B72B38">
        <w:rPr>
          <w:spacing w:val="4"/>
          <w:sz w:val="24"/>
          <w:szCs w:val="24"/>
          <w:lang w:eastAsia="zh-HK"/>
        </w:rPr>
        <w:t xml:space="preserve"> March 2022 </w:t>
      </w:r>
      <w:r>
        <w:rPr>
          <w:spacing w:val="4"/>
          <w:sz w:val="24"/>
          <w:szCs w:val="24"/>
          <w:lang w:eastAsia="zh-HK"/>
        </w:rPr>
        <w:t xml:space="preserve">in relation to its non-compliance with </w:t>
      </w:r>
      <w:r w:rsidR="00B72B38">
        <w:rPr>
          <w:spacing w:val="4"/>
          <w:sz w:val="24"/>
          <w:szCs w:val="24"/>
          <w:lang w:eastAsia="zh-HK"/>
        </w:rPr>
        <w:t xml:space="preserve">Listing </w:t>
      </w:r>
      <w:r>
        <w:rPr>
          <w:spacing w:val="4"/>
          <w:sz w:val="24"/>
          <w:szCs w:val="24"/>
          <w:lang w:eastAsia="zh-HK"/>
        </w:rPr>
        <w:t>Rule</w:t>
      </w:r>
      <w:r w:rsidR="00B72B38">
        <w:rPr>
          <w:spacing w:val="4"/>
          <w:sz w:val="24"/>
          <w:szCs w:val="24"/>
          <w:lang w:eastAsia="zh-HK"/>
        </w:rPr>
        <w:t>s 3.05,</w:t>
      </w:r>
      <w:r>
        <w:rPr>
          <w:spacing w:val="4"/>
          <w:sz w:val="24"/>
          <w:szCs w:val="24"/>
          <w:lang w:eastAsia="zh-HK"/>
        </w:rPr>
        <w:t xml:space="preserve"> 3.10, 3.10A</w:t>
      </w:r>
      <w:r w:rsidR="00B72B38">
        <w:rPr>
          <w:spacing w:val="4"/>
          <w:sz w:val="24"/>
          <w:szCs w:val="24"/>
          <w:lang w:eastAsia="zh-HK"/>
        </w:rPr>
        <w:t xml:space="preserve">, </w:t>
      </w:r>
      <w:r>
        <w:rPr>
          <w:spacing w:val="4"/>
          <w:sz w:val="24"/>
          <w:szCs w:val="24"/>
          <w:lang w:eastAsia="zh-HK"/>
        </w:rPr>
        <w:t>3.21</w:t>
      </w:r>
      <w:r w:rsidR="00B72B38">
        <w:rPr>
          <w:spacing w:val="4"/>
          <w:sz w:val="24"/>
          <w:szCs w:val="24"/>
          <w:lang w:eastAsia="zh-HK"/>
        </w:rPr>
        <w:t>, 3.25</w:t>
      </w:r>
      <w:r w:rsidR="004F61E4">
        <w:rPr>
          <w:spacing w:val="4"/>
          <w:sz w:val="24"/>
          <w:szCs w:val="24"/>
          <w:lang w:eastAsia="zh-HK"/>
        </w:rPr>
        <w:t>, 3.27A</w:t>
      </w:r>
      <w:r w:rsidR="00B72B38">
        <w:rPr>
          <w:spacing w:val="4"/>
          <w:sz w:val="24"/>
          <w:szCs w:val="24"/>
          <w:lang w:eastAsia="zh-HK"/>
        </w:rPr>
        <w:t xml:space="preserve"> and 3.28</w:t>
      </w:r>
      <w:r>
        <w:rPr>
          <w:spacing w:val="4"/>
          <w:sz w:val="24"/>
          <w:szCs w:val="24"/>
          <w:lang w:eastAsia="zh-HK"/>
        </w:rPr>
        <w:t xml:space="preserve">. </w:t>
      </w:r>
    </w:p>
    <w:p w14:paraId="02D579C1" w14:textId="77777777" w:rsidR="000B2054" w:rsidRDefault="000B2054" w:rsidP="000B2054">
      <w:pPr>
        <w:tabs>
          <w:tab w:val="left" w:pos="420"/>
        </w:tabs>
        <w:autoSpaceDE w:val="0"/>
        <w:autoSpaceDN w:val="0"/>
        <w:adjustRightInd w:val="0"/>
        <w:spacing w:line="240" w:lineRule="auto"/>
        <w:jc w:val="both"/>
        <w:rPr>
          <w:spacing w:val="4"/>
          <w:sz w:val="24"/>
          <w:szCs w:val="24"/>
          <w:lang w:eastAsia="zh-HK"/>
        </w:rPr>
      </w:pPr>
    </w:p>
    <w:p w14:paraId="52ACA5E6" w14:textId="7311F2A5" w:rsidR="000B2054" w:rsidRDefault="000B2054" w:rsidP="000B2054">
      <w:pPr>
        <w:tabs>
          <w:tab w:val="left" w:pos="420"/>
        </w:tabs>
        <w:autoSpaceDE w:val="0"/>
        <w:autoSpaceDN w:val="0"/>
        <w:adjustRightInd w:val="0"/>
        <w:spacing w:line="240" w:lineRule="auto"/>
        <w:jc w:val="both"/>
        <w:rPr>
          <w:spacing w:val="4"/>
          <w:sz w:val="24"/>
          <w:szCs w:val="24"/>
          <w:lang w:eastAsia="zh-HK"/>
        </w:rPr>
      </w:pPr>
      <w:r>
        <w:rPr>
          <w:spacing w:val="4"/>
          <w:sz w:val="24"/>
          <w:szCs w:val="24"/>
          <w:lang w:eastAsia="zh-HK"/>
        </w:rPr>
        <w:t>The Company has taken practicable steps to identify suitable candidates to fill the vacanc</w:t>
      </w:r>
      <w:r w:rsidR="000B60F0">
        <w:rPr>
          <w:spacing w:val="4"/>
          <w:sz w:val="24"/>
          <w:szCs w:val="24"/>
          <w:lang w:eastAsia="zh-HK"/>
        </w:rPr>
        <w:t>ies</w:t>
      </w:r>
      <w:r>
        <w:rPr>
          <w:spacing w:val="4"/>
          <w:sz w:val="24"/>
          <w:szCs w:val="24"/>
          <w:lang w:eastAsia="zh-HK"/>
        </w:rPr>
        <w:t xml:space="preserve">, but international and domestic travel restrictions due to the ongoing COVID-19 pandemic </w:t>
      </w:r>
      <w:r w:rsidR="00B72B38">
        <w:rPr>
          <w:spacing w:val="4"/>
          <w:sz w:val="24"/>
          <w:szCs w:val="24"/>
          <w:lang w:eastAsia="zh-HK"/>
        </w:rPr>
        <w:t>have</w:t>
      </w:r>
      <w:r>
        <w:rPr>
          <w:spacing w:val="4"/>
          <w:sz w:val="24"/>
          <w:szCs w:val="24"/>
          <w:lang w:eastAsia="zh-HK"/>
        </w:rPr>
        <w:t xml:space="preserve"> hindered the selection process and the Company therefore requires more time to fill the vacancy. The Company will continue to submit relevant information to the Stock Exchange and use its best efforts to identify suitable </w:t>
      </w:r>
      <w:r w:rsidR="00745E85">
        <w:rPr>
          <w:spacing w:val="4"/>
          <w:sz w:val="24"/>
          <w:szCs w:val="24"/>
          <w:lang w:eastAsia="zh-HK"/>
        </w:rPr>
        <w:t>candidates</w:t>
      </w:r>
      <w:r>
        <w:rPr>
          <w:spacing w:val="4"/>
          <w:sz w:val="24"/>
          <w:szCs w:val="24"/>
          <w:lang w:eastAsia="zh-HK"/>
        </w:rPr>
        <w:t xml:space="preserve"> to fill the independent non-executive director</w:t>
      </w:r>
      <w:r w:rsidR="000B60F0">
        <w:rPr>
          <w:spacing w:val="4"/>
          <w:sz w:val="24"/>
          <w:szCs w:val="24"/>
          <w:lang w:eastAsia="zh-HK"/>
        </w:rPr>
        <w:t>s</w:t>
      </w:r>
      <w:r w:rsidR="00745E85">
        <w:rPr>
          <w:spacing w:val="4"/>
          <w:sz w:val="24"/>
          <w:szCs w:val="24"/>
          <w:lang w:eastAsia="zh-HK"/>
        </w:rPr>
        <w:t>, company secretary and authorised representative</w:t>
      </w:r>
      <w:r>
        <w:rPr>
          <w:spacing w:val="4"/>
          <w:sz w:val="24"/>
          <w:szCs w:val="24"/>
          <w:lang w:eastAsia="zh-HK"/>
        </w:rPr>
        <w:t xml:space="preserve"> vacanc</w:t>
      </w:r>
      <w:r w:rsidR="00745E85">
        <w:rPr>
          <w:spacing w:val="4"/>
          <w:sz w:val="24"/>
          <w:szCs w:val="24"/>
          <w:lang w:eastAsia="zh-HK"/>
        </w:rPr>
        <w:t>ies</w:t>
      </w:r>
      <w:r>
        <w:rPr>
          <w:spacing w:val="4"/>
          <w:sz w:val="24"/>
          <w:szCs w:val="24"/>
          <w:lang w:eastAsia="zh-HK"/>
        </w:rPr>
        <w:t xml:space="preserve"> as soon as practicable. Further announcement(s) will be made as and when appropriate.</w:t>
      </w:r>
    </w:p>
    <w:p w14:paraId="446538A8" w14:textId="77777777" w:rsidR="000B2054" w:rsidRDefault="000B2054" w:rsidP="000B2054">
      <w:pPr>
        <w:tabs>
          <w:tab w:val="left" w:pos="420"/>
        </w:tabs>
        <w:autoSpaceDE w:val="0"/>
        <w:autoSpaceDN w:val="0"/>
        <w:adjustRightInd w:val="0"/>
        <w:spacing w:line="240" w:lineRule="auto"/>
        <w:jc w:val="both"/>
        <w:rPr>
          <w:spacing w:val="4"/>
          <w:sz w:val="24"/>
          <w:szCs w:val="24"/>
          <w:lang w:eastAsia="zh-HK"/>
        </w:rPr>
      </w:pPr>
    </w:p>
    <w:p w14:paraId="7A3B562D" w14:textId="77777777" w:rsidR="000B2054" w:rsidRDefault="000B2054" w:rsidP="000B2054">
      <w:pPr>
        <w:tabs>
          <w:tab w:val="left" w:pos="420"/>
        </w:tabs>
        <w:autoSpaceDE w:val="0"/>
        <w:autoSpaceDN w:val="0"/>
        <w:adjustRightInd w:val="0"/>
        <w:spacing w:line="240" w:lineRule="auto"/>
        <w:jc w:val="both"/>
        <w:rPr>
          <w:spacing w:val="4"/>
          <w:sz w:val="24"/>
          <w:szCs w:val="24"/>
          <w:lang w:eastAsia="zh-HK"/>
        </w:rPr>
      </w:pPr>
      <w:r>
        <w:rPr>
          <w:spacing w:val="4"/>
          <w:sz w:val="24"/>
          <w:szCs w:val="24"/>
          <w:lang w:eastAsia="zh-HK"/>
        </w:rPr>
        <w:t>The Company will continue to work with its professional advisors to advance the resumption progress and will make further announcements in relation to its business operations and the status of resumption as and when appropriate</w:t>
      </w:r>
    </w:p>
    <w:p w14:paraId="5165F1AF" w14:textId="77777777" w:rsidR="000B2054" w:rsidRDefault="000B2054" w:rsidP="000B2054">
      <w:pPr>
        <w:tabs>
          <w:tab w:val="left" w:pos="420"/>
        </w:tabs>
        <w:autoSpaceDE w:val="0"/>
        <w:autoSpaceDN w:val="0"/>
        <w:adjustRightInd w:val="0"/>
        <w:spacing w:line="240" w:lineRule="auto"/>
        <w:jc w:val="both"/>
        <w:rPr>
          <w:rFonts w:ascii="TimesLTStd-Roman" w:eastAsiaTheme="minorEastAsia" w:hAnsi="TimesLTStd-Roman" w:cs="TimesLTStd-Roman"/>
          <w:sz w:val="24"/>
          <w:szCs w:val="24"/>
          <w:lang w:val="en-HK" w:eastAsia="zh-CN"/>
        </w:rPr>
      </w:pPr>
    </w:p>
    <w:p w14:paraId="4EF5B1CC" w14:textId="77777777" w:rsidR="000B2054" w:rsidRDefault="000B2054" w:rsidP="000B2054">
      <w:pPr>
        <w:rPr>
          <w:b/>
          <w:bCs/>
          <w:spacing w:val="4"/>
          <w:sz w:val="24"/>
          <w:szCs w:val="24"/>
          <w:lang w:val="en-HK" w:eastAsia="zh-HK"/>
        </w:rPr>
      </w:pPr>
      <w:r>
        <w:rPr>
          <w:b/>
          <w:bCs/>
          <w:spacing w:val="4"/>
          <w:sz w:val="24"/>
          <w:szCs w:val="24"/>
          <w:lang w:val="en-HK" w:eastAsia="zh-HK"/>
        </w:rPr>
        <w:t>CONTINUED SUSPENSION OF TRADING</w:t>
      </w:r>
    </w:p>
    <w:p w14:paraId="42B2B62D" w14:textId="77777777" w:rsidR="000B2054" w:rsidRDefault="000B2054" w:rsidP="000B2054">
      <w:pPr>
        <w:rPr>
          <w:b/>
          <w:bCs/>
          <w:spacing w:val="4"/>
          <w:sz w:val="24"/>
          <w:szCs w:val="24"/>
          <w:lang w:val="en-HK" w:eastAsia="zh-HK"/>
        </w:rPr>
      </w:pPr>
    </w:p>
    <w:p w14:paraId="5D03B8BC" w14:textId="77777777" w:rsidR="000B2054" w:rsidRDefault="000B2054" w:rsidP="000B2054">
      <w:pPr>
        <w:jc w:val="both"/>
        <w:rPr>
          <w:sz w:val="24"/>
          <w:szCs w:val="24"/>
        </w:rPr>
      </w:pPr>
      <w:r>
        <w:rPr>
          <w:sz w:val="24"/>
          <w:szCs w:val="24"/>
        </w:rPr>
        <w:t>At the request of the Company, trading in the shares of the Company on the Stock Exchange has been suspended with effect from 9:00 a.m. on 2 July 2021 and will remain suspended pending the publication of the 2021 Annual Results and the Company’s fulfilment of the Resumption Guidance.</w:t>
      </w:r>
    </w:p>
    <w:p w14:paraId="72D2DCB6" w14:textId="77777777" w:rsidR="000B2054" w:rsidRDefault="000B2054" w:rsidP="000B2054">
      <w:pPr>
        <w:jc w:val="both"/>
        <w:rPr>
          <w:sz w:val="24"/>
          <w:szCs w:val="24"/>
        </w:rPr>
      </w:pPr>
    </w:p>
    <w:p w14:paraId="1E6A18D9" w14:textId="77777777" w:rsidR="000B2054" w:rsidRDefault="000B2054" w:rsidP="000B2054">
      <w:pPr>
        <w:jc w:val="both"/>
        <w:rPr>
          <w:b/>
          <w:bCs/>
          <w:spacing w:val="4"/>
          <w:sz w:val="24"/>
          <w:szCs w:val="24"/>
          <w:lang w:val="en-HK" w:eastAsia="zh-HK"/>
        </w:rPr>
      </w:pPr>
      <w:r>
        <w:rPr>
          <w:sz w:val="24"/>
          <w:szCs w:val="24"/>
        </w:rPr>
        <w:t>The Company will publish further announcement(s) to keep the Company’s shareholders and potential investors informed as and when appropriate, as well as announce quarterly updates on its development pursuant to Rule 13.24A of the Listing Rules.</w:t>
      </w:r>
    </w:p>
    <w:p w14:paraId="6747F181" w14:textId="7B26A9A2" w:rsidR="000B2054" w:rsidRDefault="000B2054" w:rsidP="000B2054">
      <w:pPr>
        <w:rPr>
          <w:spacing w:val="4"/>
          <w:sz w:val="24"/>
          <w:szCs w:val="24"/>
          <w:lang w:val="en-HK" w:eastAsia="zh-HK"/>
        </w:rPr>
      </w:pPr>
    </w:p>
    <w:p w14:paraId="1546ADA1" w14:textId="6557D5AC" w:rsidR="009262AE" w:rsidRPr="00085654" w:rsidRDefault="009262AE" w:rsidP="009262AE">
      <w:pPr>
        <w:jc w:val="both"/>
        <w:rPr>
          <w:rFonts w:eastAsiaTheme="minorEastAsia"/>
          <w:b/>
          <w:bCs/>
          <w:spacing w:val="4"/>
          <w:sz w:val="24"/>
          <w:szCs w:val="24"/>
          <w:lang w:val="en-HK" w:eastAsia="zh-CN"/>
        </w:rPr>
      </w:pPr>
      <w:r w:rsidRPr="00085654">
        <w:rPr>
          <w:b/>
          <w:bCs/>
          <w:spacing w:val="4"/>
          <w:sz w:val="24"/>
          <w:szCs w:val="24"/>
          <w:lang w:val="en-HK" w:eastAsia="zh-HK"/>
        </w:rPr>
        <w:t xml:space="preserve">Shareholders and potential investors of the Company who have any queries about the implications of the dealing of the Shares are advised to seek advice from professional </w:t>
      </w:r>
      <w:r w:rsidR="00655156">
        <w:rPr>
          <w:b/>
          <w:bCs/>
          <w:spacing w:val="4"/>
          <w:sz w:val="24"/>
          <w:szCs w:val="24"/>
          <w:lang w:val="en-HK" w:eastAsia="zh-HK"/>
        </w:rPr>
        <w:t>a</w:t>
      </w:r>
      <w:r w:rsidRPr="00085654">
        <w:rPr>
          <w:b/>
          <w:bCs/>
          <w:spacing w:val="4"/>
          <w:sz w:val="24"/>
          <w:szCs w:val="24"/>
          <w:lang w:val="en-HK" w:eastAsia="zh-HK"/>
        </w:rPr>
        <w:t>dvisors.</w:t>
      </w:r>
    </w:p>
    <w:p w14:paraId="4E08D64D" w14:textId="77777777" w:rsidR="000B2054" w:rsidRDefault="000B2054" w:rsidP="000B2054">
      <w:pPr>
        <w:adjustRightInd w:val="0"/>
        <w:snapToGrid w:val="0"/>
        <w:jc w:val="both"/>
        <w:rPr>
          <w:b/>
          <w:spacing w:val="4"/>
          <w:sz w:val="24"/>
          <w:szCs w:val="24"/>
          <w:lang w:eastAsia="zh-HK"/>
        </w:rPr>
      </w:pPr>
    </w:p>
    <w:tbl>
      <w:tblPr>
        <w:tblStyle w:val="a4"/>
        <w:tblW w:w="5103" w:type="dxa"/>
        <w:tblInd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0B2054" w14:paraId="0834A864" w14:textId="77777777" w:rsidTr="004F61E4">
        <w:tc>
          <w:tcPr>
            <w:tcW w:w="5103" w:type="dxa"/>
            <w:hideMark/>
          </w:tcPr>
          <w:p w14:paraId="44122C27" w14:textId="77777777" w:rsidR="000B2054" w:rsidRDefault="000B2054">
            <w:pPr>
              <w:jc w:val="center"/>
              <w:rPr>
                <w:sz w:val="24"/>
                <w:szCs w:val="24"/>
              </w:rPr>
            </w:pPr>
            <w:r>
              <w:rPr>
                <w:szCs w:val="24"/>
              </w:rPr>
              <w:t>For and on behalf of the Board</w:t>
            </w:r>
          </w:p>
        </w:tc>
      </w:tr>
      <w:tr w:rsidR="000B2054" w14:paraId="3A85A0A5" w14:textId="77777777" w:rsidTr="004F61E4">
        <w:tc>
          <w:tcPr>
            <w:tcW w:w="5103" w:type="dxa"/>
            <w:hideMark/>
          </w:tcPr>
          <w:p w14:paraId="672CBE19" w14:textId="77777777" w:rsidR="000B2054" w:rsidRDefault="000B2054">
            <w:pPr>
              <w:jc w:val="center"/>
              <w:rPr>
                <w:szCs w:val="24"/>
              </w:rPr>
            </w:pPr>
            <w:r>
              <w:rPr>
                <w:b/>
                <w:szCs w:val="24"/>
              </w:rPr>
              <w:t>Fresh Express Delivery Holdings Group Co., Ltd</w:t>
            </w:r>
          </w:p>
        </w:tc>
      </w:tr>
      <w:tr w:rsidR="000B2054" w14:paraId="057A13A9" w14:textId="77777777" w:rsidTr="004F61E4">
        <w:tc>
          <w:tcPr>
            <w:tcW w:w="5103" w:type="dxa"/>
            <w:hideMark/>
          </w:tcPr>
          <w:p w14:paraId="3370B26F" w14:textId="77777777" w:rsidR="000B2054" w:rsidRDefault="000B2054">
            <w:pPr>
              <w:jc w:val="center"/>
              <w:rPr>
                <w:szCs w:val="24"/>
              </w:rPr>
            </w:pPr>
            <w:r>
              <w:rPr>
                <w:b/>
                <w:szCs w:val="24"/>
              </w:rPr>
              <w:t xml:space="preserve">Pan </w:t>
            </w:r>
            <w:proofErr w:type="spellStart"/>
            <w:r>
              <w:rPr>
                <w:b/>
                <w:szCs w:val="24"/>
              </w:rPr>
              <w:t>Junfeng</w:t>
            </w:r>
            <w:proofErr w:type="spellEnd"/>
          </w:p>
        </w:tc>
      </w:tr>
      <w:tr w:rsidR="000B2054" w14:paraId="364F5ADC" w14:textId="77777777" w:rsidTr="004F61E4">
        <w:tc>
          <w:tcPr>
            <w:tcW w:w="5103" w:type="dxa"/>
            <w:hideMark/>
          </w:tcPr>
          <w:p w14:paraId="3750EAE0" w14:textId="77777777" w:rsidR="000B2054" w:rsidRDefault="000B2054">
            <w:pPr>
              <w:jc w:val="center"/>
              <w:rPr>
                <w:szCs w:val="24"/>
              </w:rPr>
            </w:pPr>
            <w:r>
              <w:rPr>
                <w:i/>
                <w:szCs w:val="24"/>
              </w:rPr>
              <w:t>Executive Director and Chairman</w:t>
            </w:r>
          </w:p>
        </w:tc>
      </w:tr>
    </w:tbl>
    <w:p w14:paraId="1D5D6857" w14:textId="77374FFE" w:rsidR="000B2054" w:rsidRDefault="000B2054" w:rsidP="000B2054">
      <w:pPr>
        <w:jc w:val="both"/>
        <w:rPr>
          <w:sz w:val="24"/>
          <w:szCs w:val="24"/>
          <w:lang w:eastAsia="zh-HK"/>
        </w:rPr>
      </w:pPr>
      <w:r>
        <w:rPr>
          <w:sz w:val="24"/>
          <w:szCs w:val="24"/>
        </w:rPr>
        <w:t xml:space="preserve">Hong Kong, </w:t>
      </w:r>
      <w:r w:rsidR="004F61E4">
        <w:rPr>
          <w:sz w:val="24"/>
          <w:szCs w:val="24"/>
        </w:rPr>
        <w:t>16</w:t>
      </w:r>
      <w:r w:rsidR="007410F3">
        <w:rPr>
          <w:sz w:val="24"/>
          <w:szCs w:val="24"/>
        </w:rPr>
        <w:t xml:space="preserve"> </w:t>
      </w:r>
      <w:r w:rsidR="004F61E4">
        <w:rPr>
          <w:sz w:val="24"/>
          <w:szCs w:val="24"/>
        </w:rPr>
        <w:t>May</w:t>
      </w:r>
      <w:r w:rsidR="002B1EDF">
        <w:rPr>
          <w:sz w:val="24"/>
          <w:szCs w:val="24"/>
        </w:rPr>
        <w:t xml:space="preserve"> 2022</w:t>
      </w:r>
    </w:p>
    <w:p w14:paraId="237890D9" w14:textId="77777777" w:rsidR="000B2054" w:rsidRDefault="000B2054" w:rsidP="000B2054">
      <w:pPr>
        <w:adjustRightInd w:val="0"/>
        <w:snapToGrid w:val="0"/>
        <w:jc w:val="both"/>
        <w:rPr>
          <w:sz w:val="24"/>
          <w:szCs w:val="24"/>
        </w:rPr>
      </w:pPr>
    </w:p>
    <w:p w14:paraId="7E8F7C31" w14:textId="1283C8A1" w:rsidR="000B2054" w:rsidRPr="0072577E" w:rsidRDefault="0072577E" w:rsidP="0072577E">
      <w:pPr>
        <w:jc w:val="both"/>
        <w:rPr>
          <w:i/>
          <w:sz w:val="24"/>
          <w:szCs w:val="24"/>
        </w:rPr>
      </w:pPr>
      <w:r>
        <w:rPr>
          <w:i/>
          <w:sz w:val="24"/>
          <w:szCs w:val="24"/>
        </w:rPr>
        <w:t xml:space="preserve">As at the date of this announcement, the Board comprises Mr. Pan </w:t>
      </w:r>
      <w:proofErr w:type="spellStart"/>
      <w:r>
        <w:rPr>
          <w:i/>
          <w:sz w:val="24"/>
          <w:szCs w:val="24"/>
        </w:rPr>
        <w:t>Junfeng</w:t>
      </w:r>
      <w:proofErr w:type="spellEnd"/>
      <w:r>
        <w:rPr>
          <w:i/>
          <w:sz w:val="24"/>
          <w:szCs w:val="24"/>
        </w:rPr>
        <w:t xml:space="preserve"> and Mr. Tang </w:t>
      </w:r>
      <w:proofErr w:type="spellStart"/>
      <w:r>
        <w:rPr>
          <w:i/>
          <w:sz w:val="24"/>
          <w:szCs w:val="24"/>
        </w:rPr>
        <w:t>Dacong</w:t>
      </w:r>
      <w:proofErr w:type="spellEnd"/>
      <w:r>
        <w:rPr>
          <w:i/>
          <w:sz w:val="24"/>
          <w:szCs w:val="24"/>
        </w:rPr>
        <w:t>, as executive Directors, and Mr. Wen Cyrus Jun-</w:t>
      </w:r>
      <w:proofErr w:type="spellStart"/>
      <w:r>
        <w:rPr>
          <w:i/>
          <w:sz w:val="24"/>
          <w:szCs w:val="24"/>
        </w:rPr>
        <w:t>ming</w:t>
      </w:r>
      <w:proofErr w:type="spellEnd"/>
      <w:r>
        <w:rPr>
          <w:i/>
          <w:sz w:val="24"/>
          <w:szCs w:val="24"/>
        </w:rPr>
        <w:t xml:space="preserve"> as non-executive Director</w:t>
      </w:r>
      <w:r>
        <w:rPr>
          <w:i/>
          <w:sz w:val="24"/>
          <w:szCs w:val="24"/>
          <w:lang w:eastAsia="zh-HK"/>
        </w:rPr>
        <w:t>.</w:t>
      </w:r>
    </w:p>
    <w:p w14:paraId="77D66C70" w14:textId="5EB2931A" w:rsidR="000B2054" w:rsidRDefault="000B2054"/>
    <w:p w14:paraId="1DD567C6" w14:textId="77777777" w:rsidR="009262AE" w:rsidRDefault="009262AE" w:rsidP="00736863">
      <w:pPr>
        <w:jc w:val="both"/>
        <w:rPr>
          <w:rFonts w:eastAsia="PMingLiU"/>
          <w:i/>
          <w:sz w:val="24"/>
          <w:lang w:val="en-US" w:eastAsia="en-US"/>
        </w:rPr>
      </w:pPr>
      <w:r>
        <w:rPr>
          <w:i/>
          <w:sz w:val="24"/>
        </w:rPr>
        <w:t>The Directors jointly and severally accept full responsibility for the accuracy of the information contained in this announcement and confirm, having made all reasonable enquiries, that to the best of their knowledge, opinions expressed in this announcement have been arrived at after due and careful consideration and there are no other facts not contained in this announcement, the omission of which would make any statements in this announcement misleading.</w:t>
      </w:r>
    </w:p>
    <w:p w14:paraId="03C24289" w14:textId="77777777" w:rsidR="009262AE" w:rsidRPr="009262AE" w:rsidRDefault="009262AE">
      <w:pPr>
        <w:rPr>
          <w:lang w:val="en-US"/>
        </w:rPr>
      </w:pPr>
    </w:p>
    <w:sectPr w:rsidR="009262AE" w:rsidRPr="009262AE" w:rsidSect="00703529">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B619B" w14:textId="77777777" w:rsidR="007410F3" w:rsidRDefault="007410F3" w:rsidP="007410F3">
      <w:pPr>
        <w:spacing w:line="240" w:lineRule="auto"/>
      </w:pPr>
      <w:r>
        <w:separator/>
      </w:r>
    </w:p>
  </w:endnote>
  <w:endnote w:type="continuationSeparator" w:id="0">
    <w:p w14:paraId="5CBE21D2" w14:textId="77777777" w:rsidR="007410F3" w:rsidRDefault="007410F3" w:rsidP="00741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LTStd-Roman">
    <w:altName w:val="Times New Roman"/>
    <w:panose1 w:val="00000000000000000000"/>
    <w:charset w:val="00"/>
    <w:family w:val="roman"/>
    <w:notTrueType/>
    <w:pitch w:val="default"/>
    <w:sig w:usb0="00000003" w:usb1="00000000" w:usb2="00000000" w:usb3="00000000" w:csb0="00000001" w:csb1="00000000"/>
  </w:font>
  <w:font w:name="TimesLTStd-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760182"/>
      <w:docPartObj>
        <w:docPartGallery w:val="Page Numbers (Bottom of Page)"/>
        <w:docPartUnique/>
      </w:docPartObj>
    </w:sdtPr>
    <w:sdtContent>
      <w:p w14:paraId="72901830" w14:textId="7BFF6ABE" w:rsidR="00703529" w:rsidRDefault="00703529">
        <w:pPr>
          <w:pStyle w:val="a8"/>
          <w:jc w:val="center"/>
        </w:pPr>
        <w:r>
          <w:fldChar w:fldCharType="begin"/>
        </w:r>
        <w:r>
          <w:instrText>PAGE   \* MERGEFORMAT</w:instrText>
        </w:r>
        <w:r>
          <w:fldChar w:fldCharType="separate"/>
        </w:r>
        <w:r>
          <w:rPr>
            <w:lang w:val="zh-TW" w:eastAsia="zh-TW"/>
          </w:rPr>
          <w:t>2</w:t>
        </w:r>
        <w:r>
          <w:fldChar w:fldCharType="end"/>
        </w:r>
      </w:p>
    </w:sdtContent>
  </w:sdt>
  <w:p w14:paraId="6230D1EC" w14:textId="77777777" w:rsidR="00703529" w:rsidRDefault="0070352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DFD0D" w14:textId="77777777" w:rsidR="007410F3" w:rsidRDefault="007410F3" w:rsidP="007410F3">
      <w:pPr>
        <w:spacing w:line="240" w:lineRule="auto"/>
      </w:pPr>
      <w:r>
        <w:separator/>
      </w:r>
    </w:p>
  </w:footnote>
  <w:footnote w:type="continuationSeparator" w:id="0">
    <w:p w14:paraId="39D14B7D" w14:textId="77777777" w:rsidR="007410F3" w:rsidRDefault="007410F3" w:rsidP="007410F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F4B7B"/>
    <w:multiLevelType w:val="hybridMultilevel"/>
    <w:tmpl w:val="69C2B73A"/>
    <w:lvl w:ilvl="0" w:tplc="8A9025CC">
      <w:start w:val="1"/>
      <w:numFmt w:val="decimal"/>
      <w:lvlText w:val="(%1)"/>
      <w:lvlJc w:val="left"/>
      <w:pPr>
        <w:ind w:left="7023" w:hanging="360"/>
      </w:pPr>
    </w:lvl>
    <w:lvl w:ilvl="1" w:tplc="3C090019">
      <w:start w:val="1"/>
      <w:numFmt w:val="lowerLetter"/>
      <w:lvlText w:val="%2."/>
      <w:lvlJc w:val="left"/>
      <w:pPr>
        <w:ind w:left="1440" w:hanging="360"/>
      </w:pPr>
    </w:lvl>
    <w:lvl w:ilvl="2" w:tplc="3C09001B">
      <w:start w:val="1"/>
      <w:numFmt w:val="lowerRoman"/>
      <w:lvlText w:val="%3."/>
      <w:lvlJc w:val="right"/>
      <w:pPr>
        <w:ind w:left="2160" w:hanging="180"/>
      </w:pPr>
    </w:lvl>
    <w:lvl w:ilvl="3" w:tplc="3C09000F">
      <w:start w:val="1"/>
      <w:numFmt w:val="decimal"/>
      <w:lvlText w:val="%4."/>
      <w:lvlJc w:val="left"/>
      <w:pPr>
        <w:ind w:left="2880" w:hanging="360"/>
      </w:pPr>
    </w:lvl>
    <w:lvl w:ilvl="4" w:tplc="3C090019">
      <w:start w:val="1"/>
      <w:numFmt w:val="lowerLetter"/>
      <w:lvlText w:val="%5."/>
      <w:lvlJc w:val="left"/>
      <w:pPr>
        <w:ind w:left="3600" w:hanging="360"/>
      </w:pPr>
    </w:lvl>
    <w:lvl w:ilvl="5" w:tplc="3C09001B">
      <w:start w:val="1"/>
      <w:numFmt w:val="lowerRoman"/>
      <w:lvlText w:val="%6."/>
      <w:lvlJc w:val="right"/>
      <w:pPr>
        <w:ind w:left="4320" w:hanging="180"/>
      </w:pPr>
    </w:lvl>
    <w:lvl w:ilvl="6" w:tplc="3C09000F">
      <w:start w:val="1"/>
      <w:numFmt w:val="decimal"/>
      <w:lvlText w:val="%7."/>
      <w:lvlJc w:val="left"/>
      <w:pPr>
        <w:ind w:left="5040" w:hanging="360"/>
      </w:pPr>
    </w:lvl>
    <w:lvl w:ilvl="7" w:tplc="3C090019">
      <w:start w:val="1"/>
      <w:numFmt w:val="lowerLetter"/>
      <w:lvlText w:val="%8."/>
      <w:lvlJc w:val="left"/>
      <w:pPr>
        <w:ind w:left="5760" w:hanging="360"/>
      </w:pPr>
    </w:lvl>
    <w:lvl w:ilvl="8" w:tplc="3C09001B">
      <w:start w:val="1"/>
      <w:numFmt w:val="lowerRoman"/>
      <w:lvlText w:val="%9."/>
      <w:lvlJc w:val="right"/>
      <w:pPr>
        <w:ind w:left="6480" w:hanging="180"/>
      </w:pPr>
    </w:lvl>
  </w:abstractNum>
  <w:num w:numId="1" w16cid:durableId="11550736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054"/>
    <w:rsid w:val="00085654"/>
    <w:rsid w:val="000B2054"/>
    <w:rsid w:val="000B60F0"/>
    <w:rsid w:val="000F7592"/>
    <w:rsid w:val="002B1EDF"/>
    <w:rsid w:val="00316C3E"/>
    <w:rsid w:val="003C6E84"/>
    <w:rsid w:val="004159F9"/>
    <w:rsid w:val="00494949"/>
    <w:rsid w:val="004B22A3"/>
    <w:rsid w:val="004F61E4"/>
    <w:rsid w:val="00504871"/>
    <w:rsid w:val="00561195"/>
    <w:rsid w:val="005C2BA9"/>
    <w:rsid w:val="005E785D"/>
    <w:rsid w:val="00622794"/>
    <w:rsid w:val="00655156"/>
    <w:rsid w:val="006952E9"/>
    <w:rsid w:val="00703529"/>
    <w:rsid w:val="0072577E"/>
    <w:rsid w:val="00736863"/>
    <w:rsid w:val="007410F3"/>
    <w:rsid w:val="00745E85"/>
    <w:rsid w:val="007F70A6"/>
    <w:rsid w:val="00835F7C"/>
    <w:rsid w:val="00887799"/>
    <w:rsid w:val="00923ACF"/>
    <w:rsid w:val="009262AE"/>
    <w:rsid w:val="0095492B"/>
    <w:rsid w:val="00984C09"/>
    <w:rsid w:val="009C086F"/>
    <w:rsid w:val="00AA6871"/>
    <w:rsid w:val="00B6539C"/>
    <w:rsid w:val="00B660AC"/>
    <w:rsid w:val="00B72AB4"/>
    <w:rsid w:val="00B72B38"/>
    <w:rsid w:val="00BC171B"/>
    <w:rsid w:val="00DD74EE"/>
    <w:rsid w:val="00DE0C8F"/>
    <w:rsid w:val="00ED274D"/>
    <w:rsid w:val="00F20D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298332"/>
  <w15:chartTrackingRefBased/>
  <w15:docId w15:val="{EEF3649F-6794-4636-9A89-4DF3BDBCD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2054"/>
    <w:pPr>
      <w:tabs>
        <w:tab w:val="left" w:pos="709"/>
        <w:tab w:val="left" w:pos="1559"/>
        <w:tab w:val="left" w:pos="2268"/>
        <w:tab w:val="left" w:pos="2977"/>
        <w:tab w:val="left" w:pos="3686"/>
        <w:tab w:val="left" w:pos="4394"/>
        <w:tab w:val="right" w:pos="8789"/>
      </w:tabs>
      <w:spacing w:line="260" w:lineRule="atLeast"/>
    </w:pPr>
    <w:rPr>
      <w:rFonts w:ascii="Times New Roman" w:eastAsia="Batang" w:hAnsi="Times New Roman" w:cs="Times New Roman"/>
      <w:kern w:val="0"/>
      <w:sz w:val="22"/>
      <w:szCs w:val="20"/>
      <w:lang w:val="en-GB"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054"/>
    <w:pPr>
      <w:widowControl w:val="0"/>
      <w:tabs>
        <w:tab w:val="clear" w:pos="709"/>
        <w:tab w:val="clear" w:pos="1559"/>
        <w:tab w:val="clear" w:pos="2268"/>
        <w:tab w:val="clear" w:pos="2977"/>
        <w:tab w:val="clear" w:pos="3686"/>
        <w:tab w:val="clear" w:pos="4394"/>
        <w:tab w:val="clear" w:pos="8789"/>
      </w:tabs>
      <w:spacing w:line="240" w:lineRule="auto"/>
      <w:ind w:leftChars="200" w:left="480"/>
    </w:pPr>
    <w:rPr>
      <w:rFonts w:asciiTheme="minorHAnsi" w:eastAsiaTheme="minorEastAsia" w:hAnsiTheme="minorHAnsi" w:cstheme="minorBidi"/>
      <w:kern w:val="2"/>
      <w:sz w:val="24"/>
      <w:szCs w:val="22"/>
      <w:lang w:val="en-US" w:eastAsia="zh-TW"/>
    </w:rPr>
  </w:style>
  <w:style w:type="table" w:styleId="a4">
    <w:name w:val="Table Grid"/>
    <w:basedOn w:val="a1"/>
    <w:uiPriority w:val="59"/>
    <w:rsid w:val="000B2054"/>
    <w:rPr>
      <w:rFonts w:eastAsia="Times New Roman"/>
      <w:sz w:val="24"/>
      <w:lang w:val="en-HK"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Revision"/>
    <w:hidden/>
    <w:uiPriority w:val="99"/>
    <w:semiHidden/>
    <w:rsid w:val="00504871"/>
    <w:rPr>
      <w:rFonts w:ascii="Times New Roman" w:eastAsia="Batang" w:hAnsi="Times New Roman" w:cs="Times New Roman"/>
      <w:kern w:val="0"/>
      <w:sz w:val="22"/>
      <w:szCs w:val="20"/>
      <w:lang w:val="en-GB" w:eastAsia="ko-KR"/>
    </w:rPr>
  </w:style>
  <w:style w:type="paragraph" w:styleId="a6">
    <w:name w:val="header"/>
    <w:basedOn w:val="a"/>
    <w:link w:val="a7"/>
    <w:uiPriority w:val="99"/>
    <w:unhideWhenUsed/>
    <w:rsid w:val="007410F3"/>
    <w:pPr>
      <w:tabs>
        <w:tab w:val="clear" w:pos="709"/>
        <w:tab w:val="clear" w:pos="1559"/>
        <w:tab w:val="clear" w:pos="2268"/>
        <w:tab w:val="clear" w:pos="2977"/>
        <w:tab w:val="clear" w:pos="3686"/>
        <w:tab w:val="clear" w:pos="4394"/>
        <w:tab w:val="clear" w:pos="8789"/>
        <w:tab w:val="center" w:pos="4513"/>
        <w:tab w:val="right" w:pos="9026"/>
      </w:tabs>
      <w:spacing w:line="240" w:lineRule="auto"/>
    </w:pPr>
  </w:style>
  <w:style w:type="character" w:customStyle="1" w:styleId="a7">
    <w:name w:val="頁首 字元"/>
    <w:basedOn w:val="a0"/>
    <w:link w:val="a6"/>
    <w:uiPriority w:val="99"/>
    <w:rsid w:val="007410F3"/>
    <w:rPr>
      <w:rFonts w:ascii="Times New Roman" w:eastAsia="Batang" w:hAnsi="Times New Roman" w:cs="Times New Roman"/>
      <w:kern w:val="0"/>
      <w:sz w:val="22"/>
      <w:szCs w:val="20"/>
      <w:lang w:val="en-GB" w:eastAsia="ko-KR"/>
    </w:rPr>
  </w:style>
  <w:style w:type="paragraph" w:styleId="a8">
    <w:name w:val="footer"/>
    <w:basedOn w:val="a"/>
    <w:link w:val="a9"/>
    <w:uiPriority w:val="99"/>
    <w:unhideWhenUsed/>
    <w:rsid w:val="007410F3"/>
    <w:pPr>
      <w:tabs>
        <w:tab w:val="clear" w:pos="709"/>
        <w:tab w:val="clear" w:pos="1559"/>
        <w:tab w:val="clear" w:pos="2268"/>
        <w:tab w:val="clear" w:pos="2977"/>
        <w:tab w:val="clear" w:pos="3686"/>
        <w:tab w:val="clear" w:pos="4394"/>
        <w:tab w:val="clear" w:pos="8789"/>
        <w:tab w:val="center" w:pos="4513"/>
        <w:tab w:val="right" w:pos="9026"/>
      </w:tabs>
      <w:spacing w:line="240" w:lineRule="auto"/>
    </w:pPr>
  </w:style>
  <w:style w:type="character" w:customStyle="1" w:styleId="a9">
    <w:name w:val="頁尾 字元"/>
    <w:basedOn w:val="a0"/>
    <w:link w:val="a8"/>
    <w:uiPriority w:val="99"/>
    <w:rsid w:val="007410F3"/>
    <w:rPr>
      <w:rFonts w:ascii="Times New Roman" w:eastAsia="Batang" w:hAnsi="Times New Roman" w:cs="Times New Roman"/>
      <w:kern w:val="0"/>
      <w:sz w:val="22"/>
      <w:szCs w:val="20"/>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988786">
      <w:bodyDiv w:val="1"/>
      <w:marLeft w:val="0"/>
      <w:marRight w:val="0"/>
      <w:marTop w:val="0"/>
      <w:marBottom w:val="0"/>
      <w:divBdr>
        <w:top w:val="none" w:sz="0" w:space="0" w:color="auto"/>
        <w:left w:val="none" w:sz="0" w:space="0" w:color="auto"/>
        <w:bottom w:val="none" w:sz="0" w:space="0" w:color="auto"/>
        <w:right w:val="none" w:sz="0" w:space="0" w:color="auto"/>
      </w:divBdr>
    </w:div>
    <w:div w:id="1819105210">
      <w:bodyDiv w:val="1"/>
      <w:marLeft w:val="0"/>
      <w:marRight w:val="0"/>
      <w:marTop w:val="0"/>
      <w:marBottom w:val="0"/>
      <w:divBdr>
        <w:top w:val="none" w:sz="0" w:space="0" w:color="auto"/>
        <w:left w:val="none" w:sz="0" w:space="0" w:color="auto"/>
        <w:bottom w:val="none" w:sz="0" w:space="0" w:color="auto"/>
        <w:right w:val="none" w:sz="0" w:space="0" w:color="auto"/>
      </w:divBdr>
    </w:div>
    <w:div w:id="20736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D2969-1F24-46AA-88BE-448C3936080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 丹丹</dc:creator>
  <cp:keywords/>
  <dc:description/>
  <cp:lastModifiedBy>Khoo team</cp:lastModifiedBy>
  <cp:revision>16</cp:revision>
  <dcterms:created xsi:type="dcterms:W3CDTF">2021-10-03T06:43:00Z</dcterms:created>
  <dcterms:modified xsi:type="dcterms:W3CDTF">2022-05-16T10:26:00Z</dcterms:modified>
</cp:coreProperties>
</file>