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2FC3" w14:textId="77777777" w:rsidR="009C1ADA" w:rsidRPr="004C2744" w:rsidRDefault="007B0ED5">
      <w:pPr>
        <w:pStyle w:val="Heading8"/>
        <w:jc w:val="both"/>
        <w:rPr>
          <w:b w:val="0"/>
          <w:bCs/>
          <w:i/>
          <w:iCs/>
          <w:sz w:val="21"/>
          <w:szCs w:val="21"/>
        </w:rPr>
      </w:pPr>
      <w:r w:rsidRPr="004C2744">
        <w:rPr>
          <w:rFonts w:hint="eastAsia"/>
          <w:b w:val="0"/>
          <w:bCs/>
          <w:i/>
          <w:iCs/>
          <w:sz w:val="21"/>
          <w:szCs w:val="21"/>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5B018843" w14:textId="77777777" w:rsidR="00911133" w:rsidRPr="005210BB" w:rsidRDefault="00911133" w:rsidP="00911133">
      <w:pPr>
        <w:pStyle w:val="NormalIndent"/>
        <w:rPr>
          <w:sz w:val="20"/>
        </w:rPr>
      </w:pPr>
    </w:p>
    <w:p w14:paraId="01C8457B" w14:textId="77777777" w:rsidR="00FF4AB7" w:rsidRDefault="00FF4AB7" w:rsidP="00FF4AB7">
      <w:pPr>
        <w:autoSpaceDE w:val="0"/>
        <w:autoSpaceDN w:val="0"/>
        <w:adjustRightInd w:val="0"/>
        <w:jc w:val="center"/>
        <w:rPr>
          <w:b/>
          <w:bCs/>
          <w:kern w:val="0"/>
          <w:szCs w:val="24"/>
        </w:rPr>
      </w:pPr>
      <w:r w:rsidRPr="003D2E68">
        <w:rPr>
          <w:b/>
          <w:bCs/>
          <w:noProof/>
          <w:kern w:val="0"/>
          <w:szCs w:val="24"/>
        </w:rPr>
        <w:drawing>
          <wp:inline distT="0" distB="0" distL="0" distR="0" wp14:anchorId="355BE05B" wp14:editId="5BE81F47">
            <wp:extent cx="13716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8352" cy="1062480"/>
                    </a:xfrm>
                    <a:prstGeom prst="rect">
                      <a:avLst/>
                    </a:prstGeom>
                  </pic:spPr>
                </pic:pic>
              </a:graphicData>
            </a:graphic>
          </wp:inline>
        </w:drawing>
      </w:r>
    </w:p>
    <w:p w14:paraId="7B1E37CD" w14:textId="77777777" w:rsidR="00FF4AB7" w:rsidRDefault="00FF4AB7" w:rsidP="004C2744">
      <w:pPr>
        <w:autoSpaceDE w:val="0"/>
        <w:autoSpaceDN w:val="0"/>
        <w:adjustRightInd w:val="0"/>
        <w:contextualSpacing/>
        <w:jc w:val="center"/>
        <w:rPr>
          <w:b/>
          <w:kern w:val="0"/>
          <w:sz w:val="32"/>
          <w:szCs w:val="24"/>
        </w:rPr>
      </w:pPr>
      <w:r>
        <w:rPr>
          <w:b/>
          <w:kern w:val="0"/>
          <w:sz w:val="32"/>
          <w:szCs w:val="24"/>
        </w:rPr>
        <w:t>South Shore Holdings Limited</w:t>
      </w:r>
    </w:p>
    <w:p w14:paraId="514FB58D" w14:textId="77777777" w:rsidR="00FF4AB7" w:rsidRDefault="00FF4AB7" w:rsidP="004C2744">
      <w:pPr>
        <w:autoSpaceDE w:val="0"/>
        <w:autoSpaceDN w:val="0"/>
        <w:adjustRightInd w:val="0"/>
        <w:contextualSpacing/>
        <w:jc w:val="center"/>
        <w:rPr>
          <w:b/>
          <w:kern w:val="0"/>
          <w:sz w:val="32"/>
          <w:szCs w:val="24"/>
        </w:rPr>
      </w:pPr>
      <w:r w:rsidRPr="003D2E68">
        <w:rPr>
          <w:rFonts w:ascii="SimSun" w:hAnsi="SimSun" w:cs="PMingLiU" w:hint="eastAsia"/>
          <w:b/>
          <w:kern w:val="0"/>
          <w:sz w:val="32"/>
          <w:szCs w:val="24"/>
        </w:rPr>
        <w:t>南</w:t>
      </w:r>
      <w:r>
        <w:rPr>
          <w:rFonts w:ascii="SimSun" w:eastAsia="SimSun" w:hAnsi="SimSun" w:cs="PMingLiU" w:hint="eastAsia"/>
          <w:b/>
          <w:kern w:val="0"/>
          <w:sz w:val="32"/>
          <w:szCs w:val="24"/>
          <w:lang w:eastAsia="zh-CN"/>
        </w:rPr>
        <w:t xml:space="preserve"> </w:t>
      </w:r>
      <w:r w:rsidRPr="003D2E68">
        <w:rPr>
          <w:rFonts w:ascii="SimSun" w:hAnsi="SimSun" w:cs="PMingLiU" w:hint="eastAsia"/>
          <w:b/>
          <w:kern w:val="0"/>
          <w:sz w:val="32"/>
          <w:szCs w:val="24"/>
        </w:rPr>
        <w:t>岸</w:t>
      </w:r>
      <w:r>
        <w:rPr>
          <w:rFonts w:ascii="SimSun" w:eastAsia="SimSun" w:hAnsi="SimSun" w:cs="PMingLiU" w:hint="eastAsia"/>
          <w:b/>
          <w:kern w:val="0"/>
          <w:sz w:val="32"/>
          <w:szCs w:val="24"/>
          <w:lang w:eastAsia="zh-CN"/>
        </w:rPr>
        <w:t xml:space="preserve"> </w:t>
      </w:r>
      <w:r w:rsidRPr="003D2E68">
        <w:rPr>
          <w:rFonts w:ascii="SimSun" w:hAnsi="SimSun" w:cs="PMingLiU" w:hint="eastAsia"/>
          <w:b/>
          <w:kern w:val="0"/>
          <w:sz w:val="32"/>
          <w:szCs w:val="24"/>
        </w:rPr>
        <w:t>集</w:t>
      </w:r>
      <w:r>
        <w:rPr>
          <w:rFonts w:ascii="SimSun" w:eastAsia="SimSun" w:hAnsi="SimSun" w:cs="PMingLiU" w:hint="eastAsia"/>
          <w:b/>
          <w:kern w:val="0"/>
          <w:sz w:val="32"/>
          <w:szCs w:val="24"/>
          <w:lang w:eastAsia="zh-CN"/>
        </w:rPr>
        <w:t xml:space="preserve"> </w:t>
      </w:r>
      <w:r w:rsidRPr="003D2E68">
        <w:rPr>
          <w:rFonts w:ascii="SimSun" w:hAnsi="SimSun" w:cs="PMingLiU" w:hint="eastAsia"/>
          <w:b/>
          <w:kern w:val="0"/>
          <w:sz w:val="32"/>
          <w:szCs w:val="24"/>
        </w:rPr>
        <w:t>團</w:t>
      </w:r>
      <w:r>
        <w:rPr>
          <w:rFonts w:ascii="SimSun" w:eastAsia="SimSun" w:hAnsi="SimSun" w:cs="PMingLiU" w:hint="eastAsia"/>
          <w:b/>
          <w:kern w:val="0"/>
          <w:sz w:val="32"/>
          <w:szCs w:val="24"/>
          <w:lang w:eastAsia="zh-CN"/>
        </w:rPr>
        <w:t xml:space="preserve"> </w:t>
      </w:r>
      <w:r w:rsidRPr="003D2E68">
        <w:rPr>
          <w:rFonts w:ascii="SimSun" w:hAnsi="SimSun" w:cs="PMingLiU" w:hint="eastAsia"/>
          <w:b/>
          <w:kern w:val="0"/>
          <w:sz w:val="32"/>
          <w:szCs w:val="24"/>
        </w:rPr>
        <w:t>有</w:t>
      </w:r>
      <w:r>
        <w:rPr>
          <w:rFonts w:ascii="SimSun" w:eastAsia="SimSun" w:hAnsi="SimSun" w:cs="PMingLiU" w:hint="eastAsia"/>
          <w:b/>
          <w:kern w:val="0"/>
          <w:sz w:val="32"/>
          <w:szCs w:val="24"/>
          <w:lang w:eastAsia="zh-CN"/>
        </w:rPr>
        <w:t xml:space="preserve"> </w:t>
      </w:r>
      <w:r w:rsidRPr="003D2E68">
        <w:rPr>
          <w:rFonts w:ascii="SimSun" w:hAnsi="SimSun" w:cs="PMingLiU" w:hint="eastAsia"/>
          <w:b/>
          <w:kern w:val="0"/>
          <w:sz w:val="32"/>
          <w:szCs w:val="24"/>
        </w:rPr>
        <w:t>限</w:t>
      </w:r>
      <w:r>
        <w:rPr>
          <w:rFonts w:ascii="SimSun" w:eastAsia="SimSun" w:hAnsi="SimSun" w:cs="PMingLiU" w:hint="eastAsia"/>
          <w:b/>
          <w:kern w:val="0"/>
          <w:sz w:val="32"/>
          <w:szCs w:val="24"/>
          <w:lang w:eastAsia="zh-CN"/>
        </w:rPr>
        <w:t xml:space="preserve"> </w:t>
      </w:r>
      <w:r w:rsidRPr="003D2E68">
        <w:rPr>
          <w:rFonts w:ascii="SimSun" w:hAnsi="SimSun" w:cs="PMingLiU" w:hint="eastAsia"/>
          <w:b/>
          <w:kern w:val="0"/>
          <w:sz w:val="32"/>
          <w:szCs w:val="24"/>
        </w:rPr>
        <w:t>公</w:t>
      </w:r>
      <w:r>
        <w:rPr>
          <w:rFonts w:ascii="SimSun" w:eastAsia="SimSun" w:hAnsi="SimSun" w:cs="PMingLiU" w:hint="eastAsia"/>
          <w:b/>
          <w:kern w:val="0"/>
          <w:sz w:val="32"/>
          <w:szCs w:val="24"/>
          <w:lang w:eastAsia="zh-CN"/>
        </w:rPr>
        <w:t xml:space="preserve"> </w:t>
      </w:r>
      <w:r w:rsidRPr="003D2E68">
        <w:rPr>
          <w:rFonts w:ascii="SimSun" w:hAnsi="SimSun" w:cs="PMingLiU" w:hint="eastAsia"/>
          <w:b/>
          <w:kern w:val="0"/>
          <w:sz w:val="32"/>
          <w:szCs w:val="24"/>
        </w:rPr>
        <w:t>司</w:t>
      </w:r>
    </w:p>
    <w:p w14:paraId="79F4B95C" w14:textId="4C664078" w:rsidR="00FF4AB7" w:rsidRPr="0075282D" w:rsidRDefault="00FF4AB7" w:rsidP="004C2744">
      <w:pPr>
        <w:autoSpaceDE w:val="0"/>
        <w:autoSpaceDN w:val="0"/>
        <w:adjustRightInd w:val="0"/>
        <w:contextualSpacing/>
        <w:jc w:val="center"/>
        <w:rPr>
          <w:b/>
          <w:kern w:val="0"/>
          <w:sz w:val="32"/>
          <w:szCs w:val="24"/>
        </w:rPr>
      </w:pPr>
      <w:r w:rsidRPr="00BA30FB">
        <w:rPr>
          <w:b/>
          <w:kern w:val="0"/>
          <w:sz w:val="32"/>
          <w:szCs w:val="24"/>
        </w:rPr>
        <w:t>(In Liquidation)</w:t>
      </w:r>
    </w:p>
    <w:p w14:paraId="3C780824" w14:textId="77777777" w:rsidR="00FF4AB7" w:rsidRPr="00FE44D0" w:rsidRDefault="00FF4AB7" w:rsidP="004C2744">
      <w:pPr>
        <w:autoSpaceDE w:val="0"/>
        <w:autoSpaceDN w:val="0"/>
        <w:adjustRightInd w:val="0"/>
        <w:contextualSpacing/>
        <w:jc w:val="center"/>
        <w:rPr>
          <w:rFonts w:asciiTheme="majorEastAsia" w:eastAsiaTheme="majorEastAsia" w:hAnsiTheme="majorEastAsia"/>
          <w:b/>
          <w:kern w:val="0"/>
          <w:sz w:val="22"/>
          <w:szCs w:val="22"/>
        </w:rPr>
      </w:pPr>
      <w:r w:rsidRPr="00FE44D0">
        <w:rPr>
          <w:i/>
          <w:iCs/>
          <w:kern w:val="0"/>
          <w:sz w:val="22"/>
          <w:szCs w:val="22"/>
        </w:rPr>
        <w:t>(Incorporated in Bermuda with limited liability)</w:t>
      </w:r>
    </w:p>
    <w:p w14:paraId="63DD2185" w14:textId="77777777" w:rsidR="00FF4AB7" w:rsidRPr="00FE44D0" w:rsidRDefault="00FF4AB7" w:rsidP="004C2744">
      <w:pPr>
        <w:autoSpaceDE w:val="0"/>
        <w:autoSpaceDN w:val="0"/>
        <w:adjustRightInd w:val="0"/>
        <w:contextualSpacing/>
        <w:jc w:val="center"/>
        <w:rPr>
          <w:rFonts w:asciiTheme="majorEastAsia" w:eastAsiaTheme="majorEastAsia" w:hAnsiTheme="majorEastAsia"/>
          <w:b/>
          <w:bCs/>
          <w:kern w:val="0"/>
          <w:sz w:val="22"/>
          <w:szCs w:val="22"/>
        </w:rPr>
      </w:pPr>
      <w:r w:rsidRPr="00FE44D0">
        <w:rPr>
          <w:b/>
          <w:bCs/>
          <w:kern w:val="0"/>
          <w:sz w:val="22"/>
          <w:szCs w:val="22"/>
        </w:rPr>
        <w:t>(Stock code: 577)</w:t>
      </w:r>
      <w:r w:rsidRPr="00FE44D0">
        <w:rPr>
          <w:b/>
          <w:bCs/>
          <w:i/>
          <w:iCs/>
          <w:kern w:val="0"/>
          <w:sz w:val="22"/>
          <w:szCs w:val="22"/>
        </w:rPr>
        <w:t xml:space="preserve"> </w:t>
      </w:r>
    </w:p>
    <w:p w14:paraId="64D55492" w14:textId="7BA4BF4C" w:rsidR="009C1ADA" w:rsidRPr="00F872D9" w:rsidRDefault="00A77241" w:rsidP="001941E3">
      <w:pPr>
        <w:pStyle w:val="NormalIndent"/>
        <w:ind w:left="0"/>
        <w:jc w:val="center"/>
        <w:rPr>
          <w:sz w:val="20"/>
        </w:rPr>
      </w:pPr>
    </w:p>
    <w:p w14:paraId="728BAF19" w14:textId="77777777" w:rsidR="002F4005" w:rsidRPr="002F4005" w:rsidRDefault="002F4005" w:rsidP="002F4005">
      <w:pPr>
        <w:autoSpaceDE w:val="0"/>
        <w:autoSpaceDN w:val="0"/>
        <w:adjustRightInd w:val="0"/>
        <w:jc w:val="center"/>
        <w:rPr>
          <w:b/>
          <w:szCs w:val="24"/>
        </w:rPr>
      </w:pPr>
      <w:r w:rsidRPr="002F4005">
        <w:rPr>
          <w:b/>
          <w:szCs w:val="24"/>
        </w:rPr>
        <w:t>INSIDE INFORMATION</w:t>
      </w:r>
    </w:p>
    <w:p w14:paraId="0B4744CA" w14:textId="66945C80" w:rsidR="002F4005" w:rsidRPr="002F4005" w:rsidRDefault="002F4005" w:rsidP="002F4005">
      <w:pPr>
        <w:autoSpaceDE w:val="0"/>
        <w:autoSpaceDN w:val="0"/>
        <w:adjustRightInd w:val="0"/>
        <w:jc w:val="center"/>
        <w:rPr>
          <w:b/>
          <w:szCs w:val="24"/>
        </w:rPr>
      </w:pPr>
      <w:r w:rsidRPr="002F4005">
        <w:rPr>
          <w:b/>
          <w:szCs w:val="24"/>
        </w:rPr>
        <w:t xml:space="preserve">(1) DELAY IN PUBLICATION OF OUTSTANDING FINANCIAL RESULTS AND REPORTS; </w:t>
      </w:r>
    </w:p>
    <w:p w14:paraId="48269FAC" w14:textId="77777777" w:rsidR="002F4005" w:rsidRPr="002F4005" w:rsidRDefault="002F4005" w:rsidP="002F4005">
      <w:pPr>
        <w:autoSpaceDE w:val="0"/>
        <w:autoSpaceDN w:val="0"/>
        <w:adjustRightInd w:val="0"/>
        <w:jc w:val="center"/>
        <w:rPr>
          <w:b/>
          <w:szCs w:val="24"/>
        </w:rPr>
      </w:pPr>
      <w:r w:rsidRPr="002F4005">
        <w:rPr>
          <w:b/>
          <w:szCs w:val="24"/>
        </w:rPr>
        <w:t xml:space="preserve">AND </w:t>
      </w:r>
    </w:p>
    <w:p w14:paraId="598A89E2" w14:textId="0CC85C5C" w:rsidR="002F4005" w:rsidRDefault="002F4005" w:rsidP="002F4005">
      <w:pPr>
        <w:autoSpaceDE w:val="0"/>
        <w:autoSpaceDN w:val="0"/>
        <w:adjustRightInd w:val="0"/>
        <w:jc w:val="center"/>
        <w:rPr>
          <w:b/>
          <w:szCs w:val="24"/>
        </w:rPr>
      </w:pPr>
      <w:r w:rsidRPr="002F4005">
        <w:rPr>
          <w:b/>
          <w:szCs w:val="24"/>
        </w:rPr>
        <w:t>(2) CONTINUED SUSPENSION OF TRADING</w:t>
      </w:r>
    </w:p>
    <w:p w14:paraId="7D93694A" w14:textId="77777777" w:rsidR="00DB7B85" w:rsidRPr="00F872D9" w:rsidRDefault="00DB7B85" w:rsidP="000B2C49">
      <w:pPr>
        <w:widowControl/>
        <w:adjustRightInd w:val="0"/>
        <w:ind w:right="56"/>
        <w:jc w:val="both"/>
        <w:rPr>
          <w:sz w:val="22"/>
          <w:szCs w:val="22"/>
          <w:lang w:val="en-GB"/>
        </w:rPr>
      </w:pPr>
    </w:p>
    <w:p w14:paraId="1B16100F" w14:textId="552A2FEF" w:rsidR="007948A9" w:rsidRPr="00F872D9" w:rsidRDefault="007948A9" w:rsidP="000B2C49">
      <w:pPr>
        <w:widowControl/>
        <w:adjustRightInd w:val="0"/>
        <w:ind w:right="56"/>
        <w:jc w:val="both"/>
        <w:rPr>
          <w:sz w:val="22"/>
          <w:szCs w:val="22"/>
          <w:lang w:val="en-GB"/>
        </w:rPr>
      </w:pPr>
      <w:r w:rsidRPr="00F872D9">
        <w:rPr>
          <w:sz w:val="22"/>
          <w:szCs w:val="22"/>
          <w:lang w:val="en-GB"/>
        </w:rPr>
        <w:t>This announcement is made by South Shore Holdings Limited (In Liquidation) (the “</w:t>
      </w:r>
      <w:r w:rsidRPr="00F872D9">
        <w:rPr>
          <w:b/>
          <w:bCs/>
          <w:sz w:val="22"/>
          <w:szCs w:val="22"/>
          <w:lang w:val="en-GB"/>
        </w:rPr>
        <w:t>Company</w:t>
      </w:r>
      <w:r w:rsidRPr="00F872D9">
        <w:rPr>
          <w:sz w:val="22"/>
          <w:szCs w:val="22"/>
          <w:lang w:val="en-GB"/>
        </w:rPr>
        <w:t>”, together with its subsidiaries, the “</w:t>
      </w:r>
      <w:r w:rsidRPr="00F872D9">
        <w:rPr>
          <w:b/>
          <w:bCs/>
          <w:sz w:val="22"/>
          <w:szCs w:val="22"/>
          <w:lang w:val="en-GB"/>
        </w:rPr>
        <w:t>Group</w:t>
      </w:r>
      <w:r w:rsidRPr="00F872D9">
        <w:rPr>
          <w:sz w:val="22"/>
          <w:szCs w:val="22"/>
          <w:lang w:val="en-GB"/>
        </w:rPr>
        <w:t>”) pursuant to Rule</w:t>
      </w:r>
      <w:r w:rsidR="002576FB" w:rsidRPr="00F872D9">
        <w:rPr>
          <w:sz w:val="22"/>
          <w:szCs w:val="22"/>
          <w:lang w:val="en-GB"/>
        </w:rPr>
        <w:t xml:space="preserve"> 13.09</w:t>
      </w:r>
      <w:r w:rsidRPr="00F872D9">
        <w:rPr>
          <w:sz w:val="22"/>
          <w:szCs w:val="22"/>
          <w:lang w:val="en-GB"/>
        </w:rPr>
        <w:t xml:space="preserve"> of the Rules Governing the Listing of Securities (the “</w:t>
      </w:r>
      <w:r w:rsidRPr="00F872D9">
        <w:rPr>
          <w:b/>
          <w:bCs/>
          <w:sz w:val="22"/>
          <w:szCs w:val="22"/>
          <w:lang w:val="en-GB"/>
        </w:rPr>
        <w:t>Listing Rules</w:t>
      </w:r>
      <w:r w:rsidRPr="00F872D9">
        <w:rPr>
          <w:sz w:val="22"/>
          <w:szCs w:val="22"/>
          <w:lang w:val="en-GB"/>
        </w:rPr>
        <w:t>”) on The Stock Exchange of Hong Kong Limited (the “</w:t>
      </w:r>
      <w:r w:rsidRPr="00F872D9">
        <w:rPr>
          <w:b/>
          <w:bCs/>
          <w:sz w:val="22"/>
          <w:szCs w:val="22"/>
          <w:lang w:val="en-GB"/>
        </w:rPr>
        <w:t>Stock Exchange</w:t>
      </w:r>
      <w:r w:rsidRPr="00F872D9">
        <w:rPr>
          <w:sz w:val="22"/>
          <w:szCs w:val="22"/>
          <w:lang w:val="en-GB"/>
        </w:rPr>
        <w:t>”), and the Inside Information Provisions (as defined under the Listing Rules) under Part XIVA of the Securities and Futures Ordinance (Chapter 571 of the Laws of Hong Kong).</w:t>
      </w:r>
    </w:p>
    <w:p w14:paraId="751FE759" w14:textId="73EEDD7C" w:rsidR="00493BDD" w:rsidRDefault="00493BDD" w:rsidP="000B2C49">
      <w:pPr>
        <w:widowControl/>
        <w:adjustRightInd w:val="0"/>
        <w:ind w:right="56"/>
        <w:jc w:val="both"/>
        <w:rPr>
          <w:sz w:val="22"/>
          <w:szCs w:val="22"/>
          <w:lang w:val="en-GB"/>
        </w:rPr>
      </w:pPr>
    </w:p>
    <w:p w14:paraId="62E6385C" w14:textId="70C94856" w:rsidR="00F872D9" w:rsidRPr="00D75384" w:rsidRDefault="002F4005" w:rsidP="002F4005">
      <w:pPr>
        <w:jc w:val="both"/>
        <w:rPr>
          <w:rFonts w:cstheme="minorHAnsi"/>
          <w:sz w:val="22"/>
          <w:szCs w:val="22"/>
        </w:rPr>
      </w:pPr>
      <w:r w:rsidRPr="00D75384">
        <w:rPr>
          <w:sz w:val="22"/>
          <w:szCs w:val="22"/>
          <w:lang w:val="en-GB"/>
        </w:rPr>
        <w:t>Reference is made to the Company’s</w:t>
      </w:r>
      <w:r w:rsidRPr="00D75384">
        <w:rPr>
          <w:rFonts w:cstheme="minorHAnsi"/>
          <w:sz w:val="22"/>
          <w:szCs w:val="22"/>
        </w:rPr>
        <w:t xml:space="preserve"> announcements dated 28 June 2021, 16 July 2021, 27 July 2021, 11 August 2021,</w:t>
      </w:r>
      <w:r w:rsidR="00347DE6" w:rsidRPr="00D75384">
        <w:rPr>
          <w:rFonts w:cstheme="minorHAnsi"/>
          <w:sz w:val="22"/>
          <w:szCs w:val="22"/>
        </w:rPr>
        <w:t xml:space="preserve"> 16 </w:t>
      </w:r>
      <w:r w:rsidRPr="00D75384">
        <w:rPr>
          <w:rFonts w:cstheme="minorHAnsi"/>
          <w:sz w:val="22"/>
          <w:szCs w:val="22"/>
        </w:rPr>
        <w:t>August 2021</w:t>
      </w:r>
      <w:r w:rsidR="00347DE6" w:rsidRPr="00D75384">
        <w:rPr>
          <w:rFonts w:cstheme="minorHAnsi"/>
          <w:sz w:val="22"/>
          <w:szCs w:val="22"/>
        </w:rPr>
        <w:t xml:space="preserve"> and</w:t>
      </w:r>
      <w:r w:rsidRPr="00D75384">
        <w:rPr>
          <w:sz w:val="22"/>
          <w:szCs w:val="22"/>
          <w:lang w:val="en-GB"/>
        </w:rPr>
        <w:t xml:space="preserve"> </w:t>
      </w:r>
      <w:r w:rsidRPr="00D75384">
        <w:rPr>
          <w:sz w:val="22"/>
          <w:szCs w:val="22"/>
        </w:rPr>
        <w:t>25 November 2021</w:t>
      </w:r>
      <w:r w:rsidR="00347DE6" w:rsidRPr="00D75384">
        <w:rPr>
          <w:sz w:val="22"/>
          <w:szCs w:val="22"/>
        </w:rPr>
        <w:t xml:space="preserve"> </w:t>
      </w:r>
      <w:r w:rsidRPr="00D75384">
        <w:rPr>
          <w:rFonts w:cstheme="minorHAnsi"/>
          <w:sz w:val="22"/>
          <w:szCs w:val="22"/>
        </w:rPr>
        <w:t>(collectively, the “</w:t>
      </w:r>
      <w:r w:rsidRPr="00D75384">
        <w:rPr>
          <w:rFonts w:cstheme="minorHAnsi"/>
          <w:b/>
          <w:bCs/>
          <w:sz w:val="22"/>
          <w:szCs w:val="22"/>
        </w:rPr>
        <w:t>Announcements</w:t>
      </w:r>
      <w:r w:rsidRPr="00D75384">
        <w:rPr>
          <w:rFonts w:cstheme="minorHAnsi"/>
          <w:sz w:val="22"/>
          <w:szCs w:val="22"/>
        </w:rPr>
        <w:t xml:space="preserve">”). Unless otherwise stated, </w:t>
      </w:r>
      <w:proofErr w:type="spellStart"/>
      <w:r w:rsidRPr="00D75384">
        <w:rPr>
          <w:rFonts w:cstheme="minorHAnsi"/>
          <w:sz w:val="22"/>
          <w:szCs w:val="22"/>
        </w:rPr>
        <w:t>capitalised</w:t>
      </w:r>
      <w:proofErr w:type="spellEnd"/>
      <w:r w:rsidRPr="00D75384">
        <w:rPr>
          <w:rFonts w:cstheme="minorHAnsi"/>
          <w:sz w:val="22"/>
          <w:szCs w:val="22"/>
        </w:rPr>
        <w:t xml:space="preserve"> terms used in this announcement shall have the same meanings as those defined in the Announcements.</w:t>
      </w:r>
    </w:p>
    <w:p w14:paraId="22DC8356" w14:textId="77777777" w:rsidR="00F872D9" w:rsidRDefault="00F872D9" w:rsidP="00E62B53">
      <w:pPr>
        <w:widowControl/>
        <w:adjustRightInd w:val="0"/>
        <w:ind w:right="56"/>
        <w:jc w:val="both"/>
        <w:rPr>
          <w:b/>
          <w:bCs/>
          <w:sz w:val="22"/>
          <w:szCs w:val="22"/>
          <w:lang w:val="en-GB"/>
        </w:rPr>
      </w:pPr>
    </w:p>
    <w:p w14:paraId="1AEC874A" w14:textId="6ED0FF7C" w:rsidR="004C2744" w:rsidRPr="00F872D9" w:rsidRDefault="00E62B53" w:rsidP="00E62B53">
      <w:pPr>
        <w:widowControl/>
        <w:adjustRightInd w:val="0"/>
        <w:ind w:right="56"/>
        <w:jc w:val="both"/>
        <w:rPr>
          <w:b/>
          <w:bCs/>
          <w:sz w:val="22"/>
          <w:szCs w:val="22"/>
          <w:lang w:val="en-GB"/>
        </w:rPr>
      </w:pPr>
      <w:r w:rsidRPr="00F872D9">
        <w:rPr>
          <w:b/>
          <w:bCs/>
          <w:sz w:val="22"/>
          <w:szCs w:val="22"/>
          <w:lang w:val="en-GB"/>
        </w:rPr>
        <w:t xml:space="preserve">DELAY IN PUBLICATION OF </w:t>
      </w:r>
      <w:bookmarkStart w:id="0" w:name="_Hlk106900133"/>
      <w:r w:rsidRPr="00F872D9">
        <w:rPr>
          <w:b/>
          <w:bCs/>
          <w:sz w:val="22"/>
          <w:szCs w:val="22"/>
          <w:lang w:val="en-GB"/>
        </w:rPr>
        <w:t>OUTSTANDING FINANCIAL RESULTS AND REPORTS</w:t>
      </w:r>
      <w:bookmarkEnd w:id="0"/>
    </w:p>
    <w:p w14:paraId="44F9371D" w14:textId="27C43338" w:rsidR="00E62B53" w:rsidRPr="00F872D9" w:rsidRDefault="00E62B53" w:rsidP="00E62B53">
      <w:pPr>
        <w:widowControl/>
        <w:adjustRightInd w:val="0"/>
        <w:ind w:right="56"/>
        <w:jc w:val="both"/>
        <w:rPr>
          <w:b/>
          <w:bCs/>
          <w:sz w:val="22"/>
          <w:szCs w:val="22"/>
          <w:lang w:val="en-GB"/>
        </w:rPr>
      </w:pPr>
    </w:p>
    <w:p w14:paraId="64BCF37E" w14:textId="6F6C8981" w:rsidR="00E62B53" w:rsidRPr="00F872D9" w:rsidRDefault="00E62B53" w:rsidP="00E62B53">
      <w:pPr>
        <w:widowControl/>
        <w:adjustRightInd w:val="0"/>
        <w:ind w:right="56"/>
        <w:jc w:val="both"/>
        <w:rPr>
          <w:sz w:val="22"/>
          <w:szCs w:val="22"/>
          <w:lang w:val="en-GB"/>
        </w:rPr>
      </w:pPr>
      <w:r w:rsidRPr="00F872D9">
        <w:rPr>
          <w:sz w:val="22"/>
          <w:szCs w:val="22"/>
          <w:lang w:val="en-GB"/>
        </w:rPr>
        <w:t xml:space="preserve">Pursuant to Rules 13.49(1) and 13.46(2) of the Listing Rules, the Company is required to publish </w:t>
      </w:r>
      <w:r w:rsidR="00347DE6">
        <w:rPr>
          <w:sz w:val="22"/>
          <w:szCs w:val="22"/>
          <w:lang w:val="en-GB"/>
        </w:rPr>
        <w:t xml:space="preserve">an announcement in respect of </w:t>
      </w:r>
      <w:bookmarkStart w:id="1" w:name="_Hlk107396262"/>
      <w:r w:rsidRPr="00F872D9">
        <w:rPr>
          <w:sz w:val="22"/>
          <w:szCs w:val="22"/>
          <w:lang w:val="en-GB"/>
        </w:rPr>
        <w:t xml:space="preserve">its </w:t>
      </w:r>
      <w:r w:rsidR="00DD6FAD">
        <w:rPr>
          <w:sz w:val="22"/>
          <w:szCs w:val="22"/>
          <w:lang w:val="en-GB"/>
        </w:rPr>
        <w:t>audited final</w:t>
      </w:r>
      <w:r w:rsidRPr="00F872D9">
        <w:rPr>
          <w:sz w:val="22"/>
          <w:szCs w:val="22"/>
          <w:lang w:val="en-GB"/>
        </w:rPr>
        <w:t xml:space="preserve"> results of the Group for the year ended 31 March 2022 (</w:t>
      </w:r>
      <w:r w:rsidR="00AC14E5">
        <w:rPr>
          <w:sz w:val="22"/>
          <w:szCs w:val="22"/>
          <w:lang w:val="en-GB"/>
        </w:rPr>
        <w:t xml:space="preserve">the </w:t>
      </w:r>
      <w:r w:rsidRPr="00F872D9">
        <w:rPr>
          <w:sz w:val="22"/>
          <w:szCs w:val="22"/>
          <w:lang w:val="en-GB"/>
        </w:rPr>
        <w:t>“</w:t>
      </w:r>
      <w:r w:rsidRPr="00B03283">
        <w:rPr>
          <w:b/>
          <w:bCs/>
          <w:sz w:val="22"/>
          <w:szCs w:val="22"/>
          <w:lang w:val="en-GB"/>
        </w:rPr>
        <w:t>202</w:t>
      </w:r>
      <w:r w:rsidR="00A92074">
        <w:rPr>
          <w:b/>
          <w:bCs/>
          <w:sz w:val="22"/>
          <w:szCs w:val="22"/>
          <w:lang w:val="en-GB"/>
        </w:rPr>
        <w:t>2</w:t>
      </w:r>
      <w:r w:rsidRPr="00B03283">
        <w:rPr>
          <w:b/>
          <w:bCs/>
          <w:sz w:val="22"/>
          <w:szCs w:val="22"/>
          <w:lang w:val="en-GB"/>
        </w:rPr>
        <w:t xml:space="preserve"> </w:t>
      </w:r>
      <w:r w:rsidR="00DD6FAD">
        <w:rPr>
          <w:b/>
          <w:bCs/>
          <w:sz w:val="22"/>
          <w:szCs w:val="22"/>
          <w:lang w:val="en-GB"/>
        </w:rPr>
        <w:t>Final</w:t>
      </w:r>
      <w:r w:rsidRPr="00B03283">
        <w:rPr>
          <w:b/>
          <w:bCs/>
          <w:sz w:val="22"/>
          <w:szCs w:val="22"/>
          <w:lang w:val="en-GB"/>
        </w:rPr>
        <w:t xml:space="preserve"> Results</w:t>
      </w:r>
      <w:r w:rsidRPr="00F872D9">
        <w:rPr>
          <w:sz w:val="22"/>
          <w:szCs w:val="22"/>
          <w:lang w:val="en-GB"/>
        </w:rPr>
        <w:t xml:space="preserve">”) not later than 30 June 2022 and despatch its </w:t>
      </w:r>
      <w:r w:rsidR="00995666" w:rsidRPr="00F872D9">
        <w:rPr>
          <w:sz w:val="22"/>
          <w:szCs w:val="22"/>
          <w:lang w:val="en-GB"/>
        </w:rPr>
        <w:t>annual</w:t>
      </w:r>
      <w:r w:rsidRPr="00F872D9">
        <w:rPr>
          <w:sz w:val="22"/>
          <w:szCs w:val="22"/>
          <w:lang w:val="en-GB"/>
        </w:rPr>
        <w:t xml:space="preserve"> report for the same financial period (</w:t>
      </w:r>
      <w:r w:rsidR="00AC14E5">
        <w:rPr>
          <w:sz w:val="22"/>
          <w:szCs w:val="22"/>
          <w:lang w:val="en-GB"/>
        </w:rPr>
        <w:t xml:space="preserve">the </w:t>
      </w:r>
      <w:r w:rsidRPr="00F872D9">
        <w:rPr>
          <w:sz w:val="22"/>
          <w:szCs w:val="22"/>
          <w:lang w:val="en-GB"/>
        </w:rPr>
        <w:t>“</w:t>
      </w:r>
      <w:r w:rsidR="00995666" w:rsidRPr="00B03283">
        <w:rPr>
          <w:b/>
          <w:bCs/>
          <w:sz w:val="22"/>
          <w:szCs w:val="22"/>
          <w:lang w:val="en-GB"/>
        </w:rPr>
        <w:t>202</w:t>
      </w:r>
      <w:r w:rsidR="00A92074">
        <w:rPr>
          <w:b/>
          <w:bCs/>
          <w:sz w:val="22"/>
          <w:szCs w:val="22"/>
          <w:lang w:val="en-GB"/>
        </w:rPr>
        <w:t>2</w:t>
      </w:r>
      <w:r w:rsidR="00995666" w:rsidRPr="00B03283">
        <w:rPr>
          <w:b/>
          <w:bCs/>
          <w:sz w:val="22"/>
          <w:szCs w:val="22"/>
          <w:lang w:val="en-GB"/>
        </w:rPr>
        <w:t xml:space="preserve"> Annual</w:t>
      </w:r>
      <w:r w:rsidRPr="00B03283">
        <w:rPr>
          <w:b/>
          <w:bCs/>
          <w:sz w:val="22"/>
          <w:szCs w:val="22"/>
          <w:lang w:val="en-GB"/>
        </w:rPr>
        <w:t xml:space="preserve"> Report</w:t>
      </w:r>
      <w:r w:rsidRPr="00F872D9">
        <w:rPr>
          <w:sz w:val="22"/>
          <w:szCs w:val="22"/>
          <w:lang w:val="en-GB"/>
        </w:rPr>
        <w:t xml:space="preserve">”) </w:t>
      </w:r>
      <w:bookmarkEnd w:id="1"/>
      <w:r w:rsidRPr="00F872D9">
        <w:rPr>
          <w:sz w:val="22"/>
          <w:szCs w:val="22"/>
          <w:lang w:val="en-GB"/>
        </w:rPr>
        <w:t xml:space="preserve">to its shareholders and holders of its listed securities on or before 31 </w:t>
      </w:r>
      <w:r w:rsidR="00995666" w:rsidRPr="00F872D9">
        <w:rPr>
          <w:sz w:val="22"/>
          <w:szCs w:val="22"/>
          <w:lang w:val="en-GB"/>
        </w:rPr>
        <w:t>July</w:t>
      </w:r>
      <w:r w:rsidRPr="00F872D9">
        <w:rPr>
          <w:sz w:val="22"/>
          <w:szCs w:val="22"/>
          <w:lang w:val="en-GB"/>
        </w:rPr>
        <w:t xml:space="preserve"> 202</w:t>
      </w:r>
      <w:r w:rsidR="00995666" w:rsidRPr="00F872D9">
        <w:rPr>
          <w:sz w:val="22"/>
          <w:szCs w:val="22"/>
          <w:lang w:val="en-GB"/>
        </w:rPr>
        <w:t>2</w:t>
      </w:r>
      <w:r w:rsidRPr="00F872D9">
        <w:rPr>
          <w:sz w:val="22"/>
          <w:szCs w:val="22"/>
          <w:lang w:val="en-GB"/>
        </w:rPr>
        <w:t>.</w:t>
      </w:r>
    </w:p>
    <w:p w14:paraId="6458B633" w14:textId="77777777" w:rsidR="00E62B53" w:rsidRPr="00F872D9" w:rsidRDefault="00E62B53" w:rsidP="00E62B53">
      <w:pPr>
        <w:widowControl/>
        <w:adjustRightInd w:val="0"/>
        <w:ind w:right="56"/>
        <w:jc w:val="both"/>
        <w:rPr>
          <w:sz w:val="22"/>
          <w:szCs w:val="22"/>
          <w:lang w:val="en-GB"/>
        </w:rPr>
      </w:pPr>
    </w:p>
    <w:p w14:paraId="08F53A2C" w14:textId="49A852C4" w:rsidR="00995666" w:rsidRDefault="00995666" w:rsidP="00E62B53">
      <w:pPr>
        <w:widowControl/>
        <w:adjustRightInd w:val="0"/>
        <w:ind w:right="56"/>
        <w:jc w:val="both"/>
        <w:rPr>
          <w:sz w:val="22"/>
          <w:szCs w:val="22"/>
          <w:lang w:val="en-GB"/>
        </w:rPr>
      </w:pPr>
      <w:r w:rsidRPr="00F872D9">
        <w:rPr>
          <w:sz w:val="22"/>
          <w:szCs w:val="22"/>
          <w:lang w:val="en-GB"/>
        </w:rPr>
        <w:t>Owing to the limited financial information available to the Joint and Several Liquidators to date</w:t>
      </w:r>
      <w:r w:rsidR="00E62B53" w:rsidRPr="00F872D9">
        <w:rPr>
          <w:sz w:val="22"/>
          <w:szCs w:val="22"/>
          <w:lang w:val="en-GB"/>
        </w:rPr>
        <w:t xml:space="preserve">, the Company is unable to finalise the </w:t>
      </w:r>
      <w:r w:rsidRPr="00F872D9">
        <w:rPr>
          <w:sz w:val="22"/>
          <w:szCs w:val="22"/>
          <w:lang w:val="en-GB"/>
        </w:rPr>
        <w:t xml:space="preserve">2021 </w:t>
      </w:r>
      <w:r w:rsidR="00DD6FAD">
        <w:rPr>
          <w:sz w:val="22"/>
          <w:szCs w:val="22"/>
          <w:lang w:val="en-GB"/>
        </w:rPr>
        <w:t>Final</w:t>
      </w:r>
      <w:r w:rsidR="00E62B53" w:rsidRPr="00F872D9">
        <w:rPr>
          <w:sz w:val="22"/>
          <w:szCs w:val="22"/>
          <w:lang w:val="en-GB"/>
        </w:rPr>
        <w:t xml:space="preserve"> Results on or before 3</w:t>
      </w:r>
      <w:r w:rsidRPr="00F872D9">
        <w:rPr>
          <w:sz w:val="22"/>
          <w:szCs w:val="22"/>
          <w:lang w:val="en-GB"/>
        </w:rPr>
        <w:t>0</w:t>
      </w:r>
      <w:r w:rsidR="00E62B53" w:rsidRPr="00F872D9">
        <w:rPr>
          <w:sz w:val="22"/>
          <w:szCs w:val="22"/>
          <w:lang w:val="en-GB"/>
        </w:rPr>
        <w:t xml:space="preserve"> </w:t>
      </w:r>
      <w:r w:rsidRPr="00F872D9">
        <w:rPr>
          <w:sz w:val="22"/>
          <w:szCs w:val="22"/>
          <w:lang w:val="en-GB"/>
        </w:rPr>
        <w:t>June</w:t>
      </w:r>
      <w:r w:rsidR="00E62B53" w:rsidRPr="00F872D9">
        <w:rPr>
          <w:sz w:val="22"/>
          <w:szCs w:val="22"/>
          <w:lang w:val="en-GB"/>
        </w:rPr>
        <w:t xml:space="preserve"> 202</w:t>
      </w:r>
      <w:r w:rsidRPr="00F872D9">
        <w:rPr>
          <w:sz w:val="22"/>
          <w:szCs w:val="22"/>
          <w:lang w:val="en-GB"/>
        </w:rPr>
        <w:t>2</w:t>
      </w:r>
      <w:r w:rsidR="00E62B53" w:rsidRPr="00F872D9">
        <w:rPr>
          <w:sz w:val="22"/>
          <w:szCs w:val="22"/>
          <w:lang w:val="en-GB"/>
        </w:rPr>
        <w:t xml:space="preserve"> and to despatch the </w:t>
      </w:r>
      <w:r w:rsidRPr="00F872D9">
        <w:rPr>
          <w:sz w:val="22"/>
          <w:szCs w:val="22"/>
          <w:lang w:val="en-GB"/>
        </w:rPr>
        <w:t>2021 Annual</w:t>
      </w:r>
      <w:r w:rsidR="00E62B53" w:rsidRPr="00F872D9">
        <w:rPr>
          <w:sz w:val="22"/>
          <w:szCs w:val="22"/>
          <w:lang w:val="en-GB"/>
        </w:rPr>
        <w:t xml:space="preserve"> Report to its shareholders and holders of its listed securities on or before </w:t>
      </w:r>
      <w:r w:rsidRPr="00F872D9">
        <w:rPr>
          <w:sz w:val="22"/>
          <w:szCs w:val="22"/>
          <w:lang w:val="en-GB"/>
        </w:rPr>
        <w:t>31 July</w:t>
      </w:r>
      <w:r w:rsidR="00E62B53" w:rsidRPr="00F872D9">
        <w:rPr>
          <w:sz w:val="22"/>
          <w:szCs w:val="22"/>
          <w:lang w:val="en-GB"/>
        </w:rPr>
        <w:t xml:space="preserve"> 202</w:t>
      </w:r>
      <w:r w:rsidRPr="00F872D9">
        <w:rPr>
          <w:sz w:val="22"/>
          <w:szCs w:val="22"/>
          <w:lang w:val="en-GB"/>
        </w:rPr>
        <w:t>2</w:t>
      </w:r>
      <w:r w:rsidR="00E62B53" w:rsidRPr="00F872D9">
        <w:rPr>
          <w:sz w:val="22"/>
          <w:szCs w:val="22"/>
          <w:lang w:val="en-GB"/>
        </w:rPr>
        <w:t xml:space="preserve">. </w:t>
      </w:r>
    </w:p>
    <w:p w14:paraId="5A9739B6" w14:textId="768DEC1B" w:rsidR="00D75384" w:rsidRDefault="00D75384" w:rsidP="00E62B53">
      <w:pPr>
        <w:widowControl/>
        <w:adjustRightInd w:val="0"/>
        <w:ind w:right="56"/>
        <w:jc w:val="both"/>
        <w:rPr>
          <w:sz w:val="22"/>
          <w:szCs w:val="22"/>
          <w:lang w:val="en-GB"/>
        </w:rPr>
      </w:pPr>
    </w:p>
    <w:p w14:paraId="3000E680" w14:textId="1992044E" w:rsidR="00D75384" w:rsidRDefault="00D75384" w:rsidP="00D75384">
      <w:pPr>
        <w:widowControl/>
        <w:adjustRightInd w:val="0"/>
        <w:ind w:right="56"/>
        <w:jc w:val="both"/>
        <w:rPr>
          <w:sz w:val="22"/>
          <w:szCs w:val="22"/>
          <w:lang w:val="en-GB"/>
        </w:rPr>
      </w:pPr>
      <w:r>
        <w:rPr>
          <w:sz w:val="22"/>
          <w:szCs w:val="22"/>
          <w:lang w:val="en-GB"/>
        </w:rPr>
        <w:t xml:space="preserve">Further to the announcements of the Company on 28 June 2021, </w:t>
      </w:r>
      <w:r w:rsidRPr="00D8409D">
        <w:rPr>
          <w:sz w:val="22"/>
          <w:szCs w:val="22"/>
          <w:lang w:val="en-GB"/>
        </w:rPr>
        <w:t>16 July 2021</w:t>
      </w:r>
      <w:r w:rsidR="00AC14E5" w:rsidRPr="00D8409D">
        <w:rPr>
          <w:sz w:val="22"/>
          <w:szCs w:val="22"/>
          <w:lang w:val="en-GB"/>
        </w:rPr>
        <w:t xml:space="preserve"> and</w:t>
      </w:r>
      <w:r w:rsidRPr="00D8409D">
        <w:rPr>
          <w:sz w:val="22"/>
          <w:szCs w:val="22"/>
          <w:lang w:val="en-GB"/>
        </w:rPr>
        <w:t xml:space="preserve"> 16 August 2021</w:t>
      </w:r>
      <w:r>
        <w:rPr>
          <w:sz w:val="22"/>
          <w:szCs w:val="22"/>
          <w:lang w:val="en-GB"/>
        </w:rPr>
        <w:t xml:space="preserve">, addition time is required for the Company to finalise </w:t>
      </w:r>
      <w:r w:rsidR="00D574D6">
        <w:rPr>
          <w:sz w:val="22"/>
          <w:szCs w:val="22"/>
          <w:lang w:val="en-GB"/>
        </w:rPr>
        <w:t>its</w:t>
      </w:r>
      <w:r w:rsidR="00AC14E5">
        <w:rPr>
          <w:sz w:val="22"/>
          <w:szCs w:val="22"/>
          <w:lang w:val="en-GB"/>
        </w:rPr>
        <w:t xml:space="preserve"> results</w:t>
      </w:r>
      <w:r w:rsidR="00D574D6">
        <w:rPr>
          <w:sz w:val="22"/>
          <w:szCs w:val="22"/>
          <w:lang w:val="en-GB"/>
        </w:rPr>
        <w:t xml:space="preserve">, there will be a further delay in </w:t>
      </w:r>
      <w:r w:rsidR="00D8409D">
        <w:rPr>
          <w:sz w:val="22"/>
          <w:szCs w:val="22"/>
          <w:lang w:val="en-GB"/>
        </w:rPr>
        <w:t xml:space="preserve">both </w:t>
      </w:r>
      <w:r w:rsidR="00D574D6">
        <w:rPr>
          <w:sz w:val="22"/>
          <w:szCs w:val="22"/>
          <w:lang w:val="en-GB"/>
        </w:rPr>
        <w:t>publication</w:t>
      </w:r>
      <w:r w:rsidR="00AC14E5">
        <w:rPr>
          <w:sz w:val="22"/>
          <w:szCs w:val="22"/>
          <w:lang w:val="en-GB"/>
        </w:rPr>
        <w:t xml:space="preserve"> </w:t>
      </w:r>
      <w:r w:rsidRPr="00D75384">
        <w:rPr>
          <w:sz w:val="22"/>
          <w:szCs w:val="22"/>
          <w:lang w:val="en-GB"/>
        </w:rPr>
        <w:t xml:space="preserve">of </w:t>
      </w:r>
      <w:r w:rsidR="002B622E" w:rsidRPr="002B622E">
        <w:rPr>
          <w:sz w:val="22"/>
          <w:szCs w:val="22"/>
          <w:lang w:val="en-GB"/>
        </w:rPr>
        <w:t>its audited final</w:t>
      </w:r>
      <w:r w:rsidR="00D574D6">
        <w:rPr>
          <w:sz w:val="22"/>
          <w:szCs w:val="22"/>
          <w:lang w:val="en-GB"/>
        </w:rPr>
        <w:t xml:space="preserve"> results of the </w:t>
      </w:r>
      <w:r w:rsidRPr="00D75384">
        <w:rPr>
          <w:sz w:val="22"/>
          <w:szCs w:val="22"/>
          <w:lang w:val="en-GB"/>
        </w:rPr>
        <w:t>Group for the year ended 31 March 202</w:t>
      </w:r>
      <w:r w:rsidR="00AC14E5">
        <w:rPr>
          <w:sz w:val="22"/>
          <w:szCs w:val="22"/>
          <w:lang w:val="en-GB"/>
        </w:rPr>
        <w:t>1</w:t>
      </w:r>
      <w:r w:rsidRPr="00D75384">
        <w:rPr>
          <w:sz w:val="22"/>
          <w:szCs w:val="22"/>
          <w:lang w:val="en-GB"/>
        </w:rPr>
        <w:t xml:space="preserve"> (</w:t>
      </w:r>
      <w:r w:rsidR="00AC14E5">
        <w:rPr>
          <w:sz w:val="22"/>
          <w:szCs w:val="22"/>
          <w:lang w:val="en-GB"/>
        </w:rPr>
        <w:t xml:space="preserve">the </w:t>
      </w:r>
      <w:r w:rsidRPr="00D75384">
        <w:rPr>
          <w:sz w:val="22"/>
          <w:szCs w:val="22"/>
          <w:lang w:val="en-GB"/>
        </w:rPr>
        <w:t>“</w:t>
      </w:r>
      <w:r w:rsidRPr="00AC14E5">
        <w:rPr>
          <w:b/>
          <w:bCs/>
          <w:sz w:val="22"/>
          <w:szCs w:val="22"/>
          <w:lang w:val="en-GB"/>
        </w:rPr>
        <w:t>202</w:t>
      </w:r>
      <w:r w:rsidR="00A92074">
        <w:rPr>
          <w:b/>
          <w:bCs/>
          <w:sz w:val="22"/>
          <w:szCs w:val="22"/>
          <w:lang w:val="en-GB"/>
        </w:rPr>
        <w:t>1</w:t>
      </w:r>
      <w:r w:rsidRPr="00AC14E5">
        <w:rPr>
          <w:b/>
          <w:bCs/>
          <w:sz w:val="22"/>
          <w:szCs w:val="22"/>
          <w:lang w:val="en-GB"/>
        </w:rPr>
        <w:t xml:space="preserve"> </w:t>
      </w:r>
      <w:r w:rsidR="002B622E">
        <w:rPr>
          <w:b/>
          <w:bCs/>
          <w:sz w:val="22"/>
          <w:szCs w:val="22"/>
          <w:lang w:val="en-GB"/>
        </w:rPr>
        <w:t>Final</w:t>
      </w:r>
      <w:r w:rsidRPr="00AC14E5">
        <w:rPr>
          <w:b/>
          <w:bCs/>
          <w:sz w:val="22"/>
          <w:szCs w:val="22"/>
          <w:lang w:val="en-GB"/>
        </w:rPr>
        <w:t xml:space="preserve"> Results</w:t>
      </w:r>
      <w:r w:rsidRPr="00D75384">
        <w:rPr>
          <w:sz w:val="22"/>
          <w:szCs w:val="22"/>
          <w:lang w:val="en-GB"/>
        </w:rPr>
        <w:t>”)</w:t>
      </w:r>
      <w:r w:rsidR="002B622E">
        <w:rPr>
          <w:sz w:val="22"/>
          <w:szCs w:val="22"/>
          <w:lang w:val="en-GB"/>
        </w:rPr>
        <w:t xml:space="preserve"> and its preliminary result of the Group for six months ended 30 September 2021 (the “</w:t>
      </w:r>
      <w:r w:rsidR="002B622E" w:rsidRPr="002B622E">
        <w:rPr>
          <w:b/>
          <w:bCs/>
          <w:sz w:val="22"/>
          <w:szCs w:val="22"/>
          <w:lang w:val="en-GB"/>
        </w:rPr>
        <w:t>202</w:t>
      </w:r>
      <w:r w:rsidR="00A92074">
        <w:rPr>
          <w:b/>
          <w:bCs/>
          <w:sz w:val="22"/>
          <w:szCs w:val="22"/>
          <w:lang w:val="en-GB"/>
        </w:rPr>
        <w:t>2</w:t>
      </w:r>
      <w:r w:rsidR="002B622E" w:rsidRPr="002B622E">
        <w:rPr>
          <w:b/>
          <w:bCs/>
          <w:sz w:val="22"/>
          <w:szCs w:val="22"/>
          <w:lang w:val="en-GB"/>
        </w:rPr>
        <w:t xml:space="preserve"> Interim Results</w:t>
      </w:r>
      <w:r w:rsidR="002B622E">
        <w:rPr>
          <w:sz w:val="22"/>
          <w:szCs w:val="22"/>
          <w:lang w:val="en-GB"/>
        </w:rPr>
        <w:t>”),</w:t>
      </w:r>
      <w:r w:rsidR="00D574D6">
        <w:rPr>
          <w:sz w:val="22"/>
          <w:szCs w:val="22"/>
          <w:lang w:val="en-GB"/>
        </w:rPr>
        <w:t xml:space="preserve"> and</w:t>
      </w:r>
      <w:r w:rsidRPr="00D75384">
        <w:rPr>
          <w:sz w:val="22"/>
          <w:szCs w:val="22"/>
          <w:lang w:val="en-GB"/>
        </w:rPr>
        <w:t xml:space="preserve"> despatch</w:t>
      </w:r>
      <w:r w:rsidR="00D574D6">
        <w:rPr>
          <w:sz w:val="22"/>
          <w:szCs w:val="22"/>
          <w:lang w:val="en-GB"/>
        </w:rPr>
        <w:t xml:space="preserve"> of</w:t>
      </w:r>
      <w:r w:rsidRPr="00D75384">
        <w:rPr>
          <w:sz w:val="22"/>
          <w:szCs w:val="22"/>
          <w:lang w:val="en-GB"/>
        </w:rPr>
        <w:t xml:space="preserve"> </w:t>
      </w:r>
      <w:r w:rsidR="00D574D6">
        <w:rPr>
          <w:sz w:val="22"/>
          <w:szCs w:val="22"/>
          <w:lang w:val="en-GB"/>
        </w:rPr>
        <w:t>the</w:t>
      </w:r>
      <w:r w:rsidRPr="00D75384">
        <w:rPr>
          <w:sz w:val="22"/>
          <w:szCs w:val="22"/>
          <w:lang w:val="en-GB"/>
        </w:rPr>
        <w:t xml:space="preserve"> annual report </w:t>
      </w:r>
      <w:r w:rsidR="002B622E" w:rsidRPr="00D75384">
        <w:rPr>
          <w:sz w:val="22"/>
          <w:szCs w:val="22"/>
          <w:lang w:val="en-GB"/>
        </w:rPr>
        <w:t>for the year ended 31 March 202</w:t>
      </w:r>
      <w:r w:rsidR="002B622E">
        <w:rPr>
          <w:sz w:val="22"/>
          <w:szCs w:val="22"/>
          <w:lang w:val="en-GB"/>
        </w:rPr>
        <w:t>1</w:t>
      </w:r>
      <w:r w:rsidR="002B622E" w:rsidRPr="00D75384">
        <w:rPr>
          <w:sz w:val="22"/>
          <w:szCs w:val="22"/>
          <w:lang w:val="en-GB"/>
        </w:rPr>
        <w:t xml:space="preserve"> (</w:t>
      </w:r>
      <w:r w:rsidR="002B622E">
        <w:rPr>
          <w:sz w:val="22"/>
          <w:szCs w:val="22"/>
          <w:lang w:val="en-GB"/>
        </w:rPr>
        <w:t xml:space="preserve">the </w:t>
      </w:r>
      <w:r w:rsidR="002B622E" w:rsidRPr="00D75384">
        <w:rPr>
          <w:sz w:val="22"/>
          <w:szCs w:val="22"/>
          <w:lang w:val="en-GB"/>
        </w:rPr>
        <w:t>“</w:t>
      </w:r>
      <w:r w:rsidR="002B622E" w:rsidRPr="00AC14E5">
        <w:rPr>
          <w:b/>
          <w:bCs/>
          <w:sz w:val="22"/>
          <w:szCs w:val="22"/>
          <w:lang w:val="en-GB"/>
        </w:rPr>
        <w:t>202</w:t>
      </w:r>
      <w:r w:rsidR="00A92074">
        <w:rPr>
          <w:b/>
          <w:bCs/>
          <w:sz w:val="22"/>
          <w:szCs w:val="22"/>
          <w:lang w:val="en-GB"/>
        </w:rPr>
        <w:t>1</w:t>
      </w:r>
      <w:r w:rsidR="002B622E" w:rsidRPr="00AC14E5">
        <w:rPr>
          <w:b/>
          <w:bCs/>
          <w:sz w:val="22"/>
          <w:szCs w:val="22"/>
          <w:lang w:val="en-GB"/>
        </w:rPr>
        <w:t xml:space="preserve"> Annual Report</w:t>
      </w:r>
      <w:r w:rsidR="002B622E" w:rsidRPr="00D75384">
        <w:rPr>
          <w:sz w:val="22"/>
          <w:szCs w:val="22"/>
          <w:lang w:val="en-GB"/>
        </w:rPr>
        <w:t>”)</w:t>
      </w:r>
      <w:r w:rsidR="002B622E">
        <w:rPr>
          <w:sz w:val="22"/>
          <w:szCs w:val="22"/>
          <w:lang w:val="en-GB"/>
        </w:rPr>
        <w:t xml:space="preserve"> and the interim report for six months ended 30 September 2021 </w:t>
      </w:r>
      <w:r w:rsidR="002B622E" w:rsidRPr="00D75384">
        <w:rPr>
          <w:sz w:val="22"/>
          <w:szCs w:val="22"/>
          <w:lang w:val="en-GB"/>
        </w:rPr>
        <w:t>(</w:t>
      </w:r>
      <w:r w:rsidR="002B622E">
        <w:rPr>
          <w:sz w:val="22"/>
          <w:szCs w:val="22"/>
          <w:lang w:val="en-GB"/>
        </w:rPr>
        <w:t xml:space="preserve">the </w:t>
      </w:r>
      <w:r w:rsidR="002B622E" w:rsidRPr="00D75384">
        <w:rPr>
          <w:sz w:val="22"/>
          <w:szCs w:val="22"/>
          <w:lang w:val="en-GB"/>
        </w:rPr>
        <w:t>“</w:t>
      </w:r>
      <w:r w:rsidR="002B622E" w:rsidRPr="00AC14E5">
        <w:rPr>
          <w:b/>
          <w:bCs/>
          <w:sz w:val="22"/>
          <w:szCs w:val="22"/>
          <w:lang w:val="en-GB"/>
        </w:rPr>
        <w:t>202</w:t>
      </w:r>
      <w:r w:rsidR="00A92074">
        <w:rPr>
          <w:b/>
          <w:bCs/>
          <w:sz w:val="22"/>
          <w:szCs w:val="22"/>
          <w:lang w:val="en-GB"/>
        </w:rPr>
        <w:t>2</w:t>
      </w:r>
      <w:r w:rsidR="002B622E">
        <w:rPr>
          <w:b/>
          <w:bCs/>
          <w:sz w:val="22"/>
          <w:szCs w:val="22"/>
          <w:lang w:val="en-GB"/>
        </w:rPr>
        <w:t xml:space="preserve"> Interim</w:t>
      </w:r>
      <w:r w:rsidR="002B622E" w:rsidRPr="00AC14E5">
        <w:rPr>
          <w:b/>
          <w:bCs/>
          <w:sz w:val="22"/>
          <w:szCs w:val="22"/>
          <w:lang w:val="en-GB"/>
        </w:rPr>
        <w:t xml:space="preserve"> Report</w:t>
      </w:r>
      <w:r w:rsidR="002B622E" w:rsidRPr="00D75384">
        <w:rPr>
          <w:sz w:val="22"/>
          <w:szCs w:val="22"/>
          <w:lang w:val="en-GB"/>
        </w:rPr>
        <w:t>”)</w:t>
      </w:r>
      <w:r w:rsidR="00AC14E5">
        <w:rPr>
          <w:sz w:val="22"/>
          <w:szCs w:val="22"/>
          <w:lang w:val="en-GB"/>
        </w:rPr>
        <w:t>.</w:t>
      </w:r>
    </w:p>
    <w:p w14:paraId="4A5744F4" w14:textId="467FF8E6" w:rsidR="009927AF" w:rsidRDefault="009927AF" w:rsidP="00E62B53">
      <w:pPr>
        <w:widowControl/>
        <w:adjustRightInd w:val="0"/>
        <w:ind w:right="56"/>
        <w:jc w:val="both"/>
        <w:rPr>
          <w:sz w:val="22"/>
          <w:szCs w:val="22"/>
          <w:lang w:val="en-GB"/>
        </w:rPr>
      </w:pPr>
    </w:p>
    <w:p w14:paraId="367C5DA2" w14:textId="5C20CDAA" w:rsidR="002B622E" w:rsidRDefault="002B622E" w:rsidP="00E62B53">
      <w:pPr>
        <w:widowControl/>
        <w:adjustRightInd w:val="0"/>
        <w:ind w:right="56"/>
        <w:jc w:val="both"/>
        <w:rPr>
          <w:sz w:val="22"/>
          <w:szCs w:val="22"/>
          <w:lang w:val="en-GB"/>
        </w:rPr>
      </w:pPr>
    </w:p>
    <w:p w14:paraId="717EED56" w14:textId="2D6402BD" w:rsidR="002B622E" w:rsidRDefault="002B622E" w:rsidP="00E62B53">
      <w:pPr>
        <w:widowControl/>
        <w:adjustRightInd w:val="0"/>
        <w:ind w:right="56"/>
        <w:jc w:val="both"/>
        <w:rPr>
          <w:sz w:val="22"/>
          <w:szCs w:val="22"/>
          <w:lang w:val="en-GB"/>
        </w:rPr>
      </w:pPr>
    </w:p>
    <w:p w14:paraId="70C9E84B" w14:textId="77777777" w:rsidR="002B622E" w:rsidRPr="00F872D9" w:rsidRDefault="002B622E" w:rsidP="00E62B53">
      <w:pPr>
        <w:widowControl/>
        <w:adjustRightInd w:val="0"/>
        <w:ind w:right="56"/>
        <w:jc w:val="both"/>
        <w:rPr>
          <w:sz w:val="22"/>
          <w:szCs w:val="22"/>
          <w:lang w:val="en-GB"/>
        </w:rPr>
      </w:pPr>
    </w:p>
    <w:p w14:paraId="541D061A" w14:textId="3F7E5DE7" w:rsidR="009927AF" w:rsidRDefault="00E62B53" w:rsidP="009927AF">
      <w:pPr>
        <w:widowControl/>
        <w:adjustRightInd w:val="0"/>
        <w:ind w:right="56"/>
        <w:jc w:val="both"/>
        <w:rPr>
          <w:sz w:val="22"/>
          <w:szCs w:val="22"/>
          <w:lang w:val="en-GB"/>
        </w:rPr>
      </w:pPr>
      <w:r w:rsidRPr="00F872D9">
        <w:rPr>
          <w:sz w:val="22"/>
          <w:szCs w:val="22"/>
          <w:lang w:val="en-GB"/>
        </w:rPr>
        <w:lastRenderedPageBreak/>
        <w:t xml:space="preserve">Accordingly, the approval </w:t>
      </w:r>
      <w:r w:rsidR="00995666" w:rsidRPr="00F872D9">
        <w:rPr>
          <w:sz w:val="22"/>
          <w:szCs w:val="22"/>
          <w:lang w:val="en-GB"/>
        </w:rPr>
        <w:t xml:space="preserve">and hence the publication </w:t>
      </w:r>
      <w:r w:rsidRPr="00F872D9">
        <w:rPr>
          <w:sz w:val="22"/>
          <w:szCs w:val="22"/>
          <w:lang w:val="en-GB"/>
        </w:rPr>
        <w:t>of the</w:t>
      </w:r>
      <w:r w:rsidR="00995666" w:rsidRPr="00F872D9">
        <w:rPr>
          <w:sz w:val="22"/>
          <w:szCs w:val="22"/>
          <w:lang w:val="en-GB"/>
        </w:rPr>
        <w:t xml:space="preserve"> </w:t>
      </w:r>
      <w:r w:rsidR="00AC14E5">
        <w:rPr>
          <w:sz w:val="22"/>
          <w:szCs w:val="22"/>
          <w:lang w:val="en-GB"/>
        </w:rPr>
        <w:t>202</w:t>
      </w:r>
      <w:r w:rsidR="00A92074">
        <w:rPr>
          <w:sz w:val="22"/>
          <w:szCs w:val="22"/>
          <w:lang w:val="en-GB"/>
        </w:rPr>
        <w:t>1</w:t>
      </w:r>
      <w:r w:rsidR="00AC14E5">
        <w:rPr>
          <w:sz w:val="22"/>
          <w:szCs w:val="22"/>
          <w:lang w:val="en-GB"/>
        </w:rPr>
        <w:t xml:space="preserve"> </w:t>
      </w:r>
      <w:r w:rsidR="00DD6FAD">
        <w:rPr>
          <w:sz w:val="22"/>
          <w:szCs w:val="22"/>
          <w:lang w:val="en-GB"/>
        </w:rPr>
        <w:t>Final</w:t>
      </w:r>
      <w:r w:rsidR="00AC14E5">
        <w:rPr>
          <w:sz w:val="22"/>
          <w:szCs w:val="22"/>
          <w:lang w:val="en-GB"/>
        </w:rPr>
        <w:t xml:space="preserve"> Results, the </w:t>
      </w:r>
      <w:r w:rsidR="00995666" w:rsidRPr="00F872D9">
        <w:rPr>
          <w:sz w:val="22"/>
          <w:szCs w:val="22"/>
          <w:lang w:val="en-GB"/>
        </w:rPr>
        <w:t>202</w:t>
      </w:r>
      <w:r w:rsidR="00A92074">
        <w:rPr>
          <w:sz w:val="22"/>
          <w:szCs w:val="22"/>
          <w:lang w:val="en-GB"/>
        </w:rPr>
        <w:t>2</w:t>
      </w:r>
      <w:r w:rsidR="00995666" w:rsidRPr="00F872D9">
        <w:rPr>
          <w:sz w:val="22"/>
          <w:szCs w:val="22"/>
          <w:lang w:val="en-GB"/>
        </w:rPr>
        <w:t xml:space="preserve"> Interim Results and </w:t>
      </w:r>
      <w:r w:rsidR="00C6445B" w:rsidRPr="00F872D9">
        <w:rPr>
          <w:sz w:val="22"/>
          <w:szCs w:val="22"/>
          <w:lang w:val="en-GB"/>
        </w:rPr>
        <w:t xml:space="preserve">the </w:t>
      </w:r>
      <w:r w:rsidR="00995666" w:rsidRPr="00F872D9">
        <w:rPr>
          <w:sz w:val="22"/>
          <w:szCs w:val="22"/>
          <w:lang w:val="en-GB"/>
        </w:rPr>
        <w:t>202</w:t>
      </w:r>
      <w:r w:rsidR="00A92074">
        <w:rPr>
          <w:sz w:val="22"/>
          <w:szCs w:val="22"/>
          <w:lang w:val="en-GB"/>
        </w:rPr>
        <w:t>2</w:t>
      </w:r>
      <w:r w:rsidR="00995666" w:rsidRPr="00F872D9">
        <w:rPr>
          <w:sz w:val="22"/>
          <w:szCs w:val="22"/>
          <w:lang w:val="en-GB"/>
        </w:rPr>
        <w:t xml:space="preserve"> </w:t>
      </w:r>
      <w:r w:rsidR="00DD6FAD">
        <w:rPr>
          <w:sz w:val="22"/>
          <w:szCs w:val="22"/>
          <w:lang w:val="en-GB"/>
        </w:rPr>
        <w:t>Final</w:t>
      </w:r>
      <w:r w:rsidRPr="00F872D9">
        <w:rPr>
          <w:sz w:val="22"/>
          <w:szCs w:val="22"/>
          <w:lang w:val="en-GB"/>
        </w:rPr>
        <w:t xml:space="preserve"> Results</w:t>
      </w:r>
      <w:r w:rsidR="00AC14E5">
        <w:rPr>
          <w:sz w:val="22"/>
          <w:szCs w:val="22"/>
          <w:lang w:val="en-GB"/>
        </w:rPr>
        <w:t>,</w:t>
      </w:r>
      <w:r w:rsidRPr="00F872D9">
        <w:rPr>
          <w:sz w:val="22"/>
          <w:szCs w:val="22"/>
          <w:lang w:val="en-GB"/>
        </w:rPr>
        <w:t xml:space="preserve"> </w:t>
      </w:r>
      <w:r w:rsidR="009927AF">
        <w:rPr>
          <w:sz w:val="22"/>
          <w:szCs w:val="22"/>
          <w:lang w:val="en-GB"/>
        </w:rPr>
        <w:t>together with</w:t>
      </w:r>
      <w:r w:rsidRPr="00F872D9">
        <w:rPr>
          <w:sz w:val="22"/>
          <w:szCs w:val="22"/>
          <w:lang w:val="en-GB"/>
        </w:rPr>
        <w:t xml:space="preserve"> the despatch of </w:t>
      </w:r>
      <w:r w:rsidR="00995666" w:rsidRPr="00F872D9">
        <w:rPr>
          <w:sz w:val="22"/>
          <w:szCs w:val="22"/>
          <w:lang w:val="en-GB"/>
        </w:rPr>
        <w:t>the</w:t>
      </w:r>
      <w:r w:rsidR="00AC14E5">
        <w:rPr>
          <w:sz w:val="22"/>
          <w:szCs w:val="22"/>
          <w:lang w:val="en-GB"/>
        </w:rPr>
        <w:t xml:space="preserve"> 202</w:t>
      </w:r>
      <w:r w:rsidR="00A92074">
        <w:rPr>
          <w:sz w:val="22"/>
          <w:szCs w:val="22"/>
          <w:lang w:val="en-GB"/>
        </w:rPr>
        <w:t>1</w:t>
      </w:r>
      <w:r w:rsidR="00AC14E5">
        <w:rPr>
          <w:sz w:val="22"/>
          <w:szCs w:val="22"/>
          <w:lang w:val="en-GB"/>
        </w:rPr>
        <w:t xml:space="preserve"> Annual Report, the</w:t>
      </w:r>
      <w:r w:rsidR="00C6445B" w:rsidRPr="00F872D9">
        <w:rPr>
          <w:sz w:val="22"/>
          <w:szCs w:val="22"/>
          <w:lang w:val="en-GB"/>
        </w:rPr>
        <w:t xml:space="preserve"> 202</w:t>
      </w:r>
      <w:r w:rsidR="00A92074">
        <w:rPr>
          <w:sz w:val="22"/>
          <w:szCs w:val="22"/>
          <w:lang w:val="en-GB"/>
        </w:rPr>
        <w:t>2</w:t>
      </w:r>
      <w:r w:rsidR="00C6445B" w:rsidRPr="00F872D9">
        <w:rPr>
          <w:sz w:val="22"/>
          <w:szCs w:val="22"/>
          <w:lang w:val="en-GB"/>
        </w:rPr>
        <w:t xml:space="preserve"> Interim Report and the</w:t>
      </w:r>
      <w:r w:rsidR="00995666" w:rsidRPr="00F872D9">
        <w:rPr>
          <w:sz w:val="22"/>
          <w:szCs w:val="22"/>
          <w:lang w:val="en-GB"/>
        </w:rPr>
        <w:t xml:space="preserve"> 202</w:t>
      </w:r>
      <w:r w:rsidR="00A92074">
        <w:rPr>
          <w:sz w:val="22"/>
          <w:szCs w:val="22"/>
          <w:lang w:val="en-GB"/>
        </w:rPr>
        <w:t>2</w:t>
      </w:r>
      <w:r w:rsidR="00995666" w:rsidRPr="00F872D9">
        <w:rPr>
          <w:sz w:val="22"/>
          <w:szCs w:val="22"/>
          <w:lang w:val="en-GB"/>
        </w:rPr>
        <w:t xml:space="preserve"> Annual</w:t>
      </w:r>
      <w:r w:rsidRPr="00F872D9">
        <w:rPr>
          <w:sz w:val="22"/>
          <w:szCs w:val="22"/>
          <w:lang w:val="en-GB"/>
        </w:rPr>
        <w:t xml:space="preserve"> Report will be postponed.</w:t>
      </w:r>
      <w:r w:rsidR="00C6445B" w:rsidRPr="00F872D9">
        <w:rPr>
          <w:sz w:val="22"/>
          <w:szCs w:val="22"/>
          <w:lang w:val="en-GB"/>
        </w:rPr>
        <w:t xml:space="preserve"> </w:t>
      </w:r>
      <w:r w:rsidRPr="00F872D9">
        <w:rPr>
          <w:sz w:val="22"/>
          <w:szCs w:val="22"/>
          <w:lang w:val="en-GB"/>
        </w:rPr>
        <w:t>The Company will publish further</w:t>
      </w:r>
      <w:r w:rsidR="00D574D6">
        <w:rPr>
          <w:sz w:val="22"/>
          <w:szCs w:val="22"/>
          <w:lang w:val="en-GB"/>
        </w:rPr>
        <w:t xml:space="preserve"> </w:t>
      </w:r>
      <w:r w:rsidRPr="00F872D9">
        <w:rPr>
          <w:sz w:val="22"/>
          <w:szCs w:val="22"/>
          <w:lang w:val="en-GB"/>
        </w:rPr>
        <w:t xml:space="preserve">announcement(s) to inform the shareholders regarding the release of the </w:t>
      </w:r>
      <w:r w:rsidR="00C6445B" w:rsidRPr="00F872D9">
        <w:rPr>
          <w:sz w:val="22"/>
          <w:szCs w:val="22"/>
          <w:lang w:val="en-GB"/>
        </w:rPr>
        <w:t>aforesaid financial</w:t>
      </w:r>
      <w:r w:rsidRPr="00F872D9">
        <w:rPr>
          <w:sz w:val="22"/>
          <w:szCs w:val="22"/>
          <w:lang w:val="en-GB"/>
        </w:rPr>
        <w:t xml:space="preserve"> </w:t>
      </w:r>
      <w:r w:rsidR="00C6445B" w:rsidRPr="00F872D9">
        <w:rPr>
          <w:sz w:val="22"/>
          <w:szCs w:val="22"/>
          <w:lang w:val="en-GB"/>
        </w:rPr>
        <w:t>r</w:t>
      </w:r>
      <w:r w:rsidRPr="00F872D9">
        <w:rPr>
          <w:sz w:val="22"/>
          <w:szCs w:val="22"/>
          <w:lang w:val="en-GB"/>
        </w:rPr>
        <w:t xml:space="preserve">esults and the despatch of the </w:t>
      </w:r>
      <w:r w:rsidR="00C6445B" w:rsidRPr="00F872D9">
        <w:rPr>
          <w:sz w:val="22"/>
          <w:szCs w:val="22"/>
          <w:lang w:val="en-GB"/>
        </w:rPr>
        <w:t>r</w:t>
      </w:r>
      <w:r w:rsidRPr="00F872D9">
        <w:rPr>
          <w:sz w:val="22"/>
          <w:szCs w:val="22"/>
          <w:lang w:val="en-GB"/>
        </w:rPr>
        <w:t>eport</w:t>
      </w:r>
      <w:r w:rsidR="00C6445B" w:rsidRPr="00F872D9">
        <w:rPr>
          <w:sz w:val="22"/>
          <w:szCs w:val="22"/>
          <w:lang w:val="en-GB"/>
        </w:rPr>
        <w:t>s</w:t>
      </w:r>
      <w:r w:rsidRPr="00F872D9">
        <w:rPr>
          <w:sz w:val="22"/>
          <w:szCs w:val="22"/>
          <w:lang w:val="en-GB"/>
        </w:rPr>
        <w:t xml:space="preserve"> as and when appropriate.</w:t>
      </w:r>
    </w:p>
    <w:p w14:paraId="5F34B5E3" w14:textId="77777777" w:rsidR="009927AF" w:rsidRDefault="009927AF" w:rsidP="009927AF">
      <w:pPr>
        <w:widowControl/>
        <w:adjustRightInd w:val="0"/>
        <w:ind w:right="56"/>
        <w:jc w:val="both"/>
        <w:rPr>
          <w:sz w:val="22"/>
          <w:szCs w:val="22"/>
          <w:lang w:val="en-GB"/>
        </w:rPr>
      </w:pPr>
    </w:p>
    <w:p w14:paraId="77B902B7" w14:textId="787FF05A" w:rsidR="00AA6724" w:rsidRPr="009927AF" w:rsidRDefault="00AA6724" w:rsidP="009927AF">
      <w:pPr>
        <w:widowControl/>
        <w:adjustRightInd w:val="0"/>
        <w:ind w:right="56"/>
        <w:jc w:val="both"/>
        <w:rPr>
          <w:sz w:val="22"/>
          <w:szCs w:val="22"/>
          <w:lang w:val="en-GB"/>
        </w:rPr>
      </w:pPr>
      <w:r w:rsidRPr="00F872D9">
        <w:rPr>
          <w:b/>
          <w:bCs/>
          <w:sz w:val="22"/>
          <w:szCs w:val="22"/>
        </w:rPr>
        <w:t>CONTINUED SUSPENSION OF TRADING OF SHARES</w:t>
      </w:r>
    </w:p>
    <w:p w14:paraId="0FAA0E1C" w14:textId="77777777" w:rsidR="00AA6724" w:rsidRPr="00F872D9" w:rsidRDefault="00AA6724" w:rsidP="00E17EB7">
      <w:pPr>
        <w:jc w:val="both"/>
        <w:rPr>
          <w:sz w:val="22"/>
          <w:szCs w:val="22"/>
        </w:rPr>
      </w:pPr>
    </w:p>
    <w:p w14:paraId="09EC03BE" w14:textId="77777777" w:rsidR="00AA6724" w:rsidRPr="00F872D9" w:rsidRDefault="00AA6724" w:rsidP="00E17EB7">
      <w:pPr>
        <w:jc w:val="both"/>
        <w:rPr>
          <w:sz w:val="22"/>
          <w:szCs w:val="22"/>
        </w:rPr>
      </w:pPr>
      <w:r w:rsidRPr="00F872D9">
        <w:rPr>
          <w:sz w:val="22"/>
          <w:szCs w:val="22"/>
        </w:rPr>
        <w:t>Trading in the shares of the Company on the Stock Exchange has been suspended with effect from 9:00 a.m. on 2 July 2021 and will remain suspended until further notice.</w:t>
      </w:r>
    </w:p>
    <w:p w14:paraId="092824A9" w14:textId="27669767" w:rsidR="004C2744" w:rsidRPr="00F872D9" w:rsidRDefault="004C2744" w:rsidP="00AA6724">
      <w:pPr>
        <w:jc w:val="both"/>
        <w:rPr>
          <w:sz w:val="22"/>
          <w:szCs w:val="22"/>
        </w:rPr>
      </w:pPr>
    </w:p>
    <w:p w14:paraId="25CB2083" w14:textId="77777777" w:rsidR="004630C1" w:rsidRPr="00F872D9" w:rsidRDefault="004630C1" w:rsidP="00AA6724">
      <w:pPr>
        <w:jc w:val="both"/>
        <w:rPr>
          <w:sz w:val="22"/>
          <w:szCs w:val="22"/>
        </w:rPr>
      </w:pPr>
    </w:p>
    <w:p w14:paraId="5D755C66" w14:textId="77777777" w:rsidR="00AA6724" w:rsidRPr="00F872D9" w:rsidRDefault="00AA6724" w:rsidP="00AA6724">
      <w:pPr>
        <w:jc w:val="both"/>
        <w:rPr>
          <w:b/>
          <w:bCs/>
          <w:sz w:val="22"/>
          <w:szCs w:val="22"/>
        </w:rPr>
      </w:pPr>
      <w:r w:rsidRPr="00F872D9">
        <w:rPr>
          <w:b/>
          <w:bCs/>
          <w:sz w:val="22"/>
          <w:szCs w:val="22"/>
        </w:rPr>
        <w:t>Shareholders and prospective investors of the Company are advised to exercise caution when dealing in the shares of the Company.</w:t>
      </w:r>
    </w:p>
    <w:p w14:paraId="5469B646" w14:textId="35B9A566" w:rsidR="00010E4A" w:rsidRPr="00F872D9" w:rsidRDefault="00010E4A" w:rsidP="00010E4A">
      <w:pPr>
        <w:widowControl/>
        <w:adjustRightInd w:val="0"/>
        <w:ind w:right="56"/>
        <w:jc w:val="both"/>
        <w:rPr>
          <w:b/>
          <w:bCs/>
          <w:sz w:val="22"/>
          <w:szCs w:val="22"/>
        </w:rPr>
      </w:pPr>
    </w:p>
    <w:p w14:paraId="4B69F415" w14:textId="77777777" w:rsidR="0099285C" w:rsidRPr="00F872D9" w:rsidRDefault="0099285C" w:rsidP="005210BB">
      <w:pPr>
        <w:wordWrap w:val="0"/>
        <w:autoSpaceDE w:val="0"/>
        <w:autoSpaceDN w:val="0"/>
        <w:adjustRightInd w:val="0"/>
        <w:ind w:left="4111"/>
        <w:jc w:val="center"/>
        <w:rPr>
          <w:sz w:val="22"/>
          <w:szCs w:val="22"/>
        </w:rPr>
      </w:pPr>
    </w:p>
    <w:p w14:paraId="4CED9EA7" w14:textId="1E7F9927" w:rsidR="005210BB" w:rsidRPr="00F872D9" w:rsidRDefault="005210BB" w:rsidP="005210BB">
      <w:pPr>
        <w:wordWrap w:val="0"/>
        <w:autoSpaceDE w:val="0"/>
        <w:autoSpaceDN w:val="0"/>
        <w:adjustRightInd w:val="0"/>
        <w:ind w:left="4111"/>
        <w:jc w:val="center"/>
        <w:rPr>
          <w:sz w:val="22"/>
          <w:szCs w:val="22"/>
        </w:rPr>
      </w:pPr>
      <w:r w:rsidRPr="00F872D9">
        <w:rPr>
          <w:sz w:val="22"/>
          <w:szCs w:val="22"/>
        </w:rPr>
        <w:t xml:space="preserve">For and on behalf of </w:t>
      </w:r>
    </w:p>
    <w:p w14:paraId="52EC3DE4" w14:textId="77777777" w:rsidR="005210BB" w:rsidRPr="00F872D9" w:rsidRDefault="005210BB" w:rsidP="005210BB">
      <w:pPr>
        <w:autoSpaceDE w:val="0"/>
        <w:autoSpaceDN w:val="0"/>
        <w:adjustRightInd w:val="0"/>
        <w:ind w:left="4111"/>
        <w:jc w:val="center"/>
        <w:rPr>
          <w:b/>
          <w:bCs/>
          <w:sz w:val="22"/>
          <w:szCs w:val="22"/>
        </w:rPr>
      </w:pPr>
      <w:r w:rsidRPr="00F872D9">
        <w:rPr>
          <w:b/>
          <w:bCs/>
          <w:sz w:val="22"/>
          <w:szCs w:val="22"/>
        </w:rPr>
        <w:t>South Shore Holdings Limited</w:t>
      </w:r>
    </w:p>
    <w:p w14:paraId="4C0F29C5" w14:textId="5513D03A" w:rsidR="005210BB" w:rsidRPr="00F872D9" w:rsidRDefault="005210BB" w:rsidP="005210BB">
      <w:pPr>
        <w:autoSpaceDE w:val="0"/>
        <w:autoSpaceDN w:val="0"/>
        <w:adjustRightInd w:val="0"/>
        <w:ind w:left="4111"/>
        <w:jc w:val="center"/>
        <w:rPr>
          <w:bCs/>
          <w:i/>
          <w:sz w:val="22"/>
          <w:szCs w:val="22"/>
        </w:rPr>
      </w:pPr>
      <w:r w:rsidRPr="00F872D9">
        <w:rPr>
          <w:bCs/>
          <w:i/>
          <w:sz w:val="22"/>
          <w:szCs w:val="22"/>
        </w:rPr>
        <w:t>(In Liquidation)</w:t>
      </w:r>
    </w:p>
    <w:p w14:paraId="2F78E7ED" w14:textId="77777777" w:rsidR="00843467" w:rsidRPr="00F872D9" w:rsidRDefault="00843467" w:rsidP="005210BB">
      <w:pPr>
        <w:autoSpaceDE w:val="0"/>
        <w:autoSpaceDN w:val="0"/>
        <w:adjustRightInd w:val="0"/>
        <w:ind w:left="4111"/>
        <w:jc w:val="center"/>
        <w:rPr>
          <w:b/>
          <w:bCs/>
          <w:sz w:val="22"/>
          <w:szCs w:val="22"/>
          <w:lang w:eastAsia="zh-HK"/>
        </w:rPr>
      </w:pPr>
      <w:r w:rsidRPr="00F872D9">
        <w:rPr>
          <w:b/>
          <w:bCs/>
          <w:sz w:val="22"/>
          <w:szCs w:val="22"/>
          <w:lang w:eastAsia="zh-HK"/>
        </w:rPr>
        <w:t xml:space="preserve">Edward Alexander Niles Whittaker </w:t>
      </w:r>
    </w:p>
    <w:p w14:paraId="7CC25184" w14:textId="4A40B552" w:rsidR="005210BB" w:rsidRPr="00F872D9" w:rsidRDefault="005210BB" w:rsidP="005210BB">
      <w:pPr>
        <w:autoSpaceDE w:val="0"/>
        <w:autoSpaceDN w:val="0"/>
        <w:adjustRightInd w:val="0"/>
        <w:ind w:left="4111"/>
        <w:jc w:val="center"/>
        <w:rPr>
          <w:b/>
          <w:bCs/>
          <w:sz w:val="22"/>
          <w:szCs w:val="22"/>
          <w:lang w:eastAsia="zh-HK"/>
        </w:rPr>
      </w:pPr>
      <w:r w:rsidRPr="00F872D9">
        <w:rPr>
          <w:b/>
          <w:bCs/>
          <w:sz w:val="22"/>
          <w:szCs w:val="22"/>
          <w:lang w:eastAsia="zh-HK"/>
        </w:rPr>
        <w:t>Chan King Wai Leonard</w:t>
      </w:r>
    </w:p>
    <w:p w14:paraId="7A89B58C" w14:textId="0A59088A" w:rsidR="00843467" w:rsidRPr="00F872D9" w:rsidRDefault="00843467" w:rsidP="005210BB">
      <w:pPr>
        <w:autoSpaceDE w:val="0"/>
        <w:autoSpaceDN w:val="0"/>
        <w:adjustRightInd w:val="0"/>
        <w:ind w:left="4111"/>
        <w:jc w:val="center"/>
        <w:rPr>
          <w:b/>
          <w:bCs/>
          <w:sz w:val="22"/>
          <w:szCs w:val="22"/>
          <w:lang w:eastAsia="zh-HK"/>
        </w:rPr>
      </w:pPr>
      <w:r w:rsidRPr="00F872D9">
        <w:rPr>
          <w:b/>
          <w:bCs/>
          <w:sz w:val="22"/>
          <w:szCs w:val="22"/>
          <w:lang w:eastAsia="zh-HK"/>
        </w:rPr>
        <w:t>So Kit Yee Anita</w:t>
      </w:r>
    </w:p>
    <w:p w14:paraId="2A976D79" w14:textId="658BADD3" w:rsidR="005210BB" w:rsidRPr="00F872D9" w:rsidRDefault="005210BB" w:rsidP="005210BB">
      <w:pPr>
        <w:autoSpaceDE w:val="0"/>
        <w:autoSpaceDN w:val="0"/>
        <w:adjustRightInd w:val="0"/>
        <w:ind w:left="4111"/>
        <w:jc w:val="center"/>
        <w:rPr>
          <w:i/>
          <w:iCs/>
          <w:sz w:val="22"/>
          <w:szCs w:val="22"/>
        </w:rPr>
      </w:pPr>
      <w:r w:rsidRPr="00F872D9">
        <w:rPr>
          <w:i/>
          <w:iCs/>
          <w:sz w:val="22"/>
          <w:szCs w:val="22"/>
        </w:rPr>
        <w:t xml:space="preserve">Joint </w:t>
      </w:r>
      <w:r w:rsidR="00843467" w:rsidRPr="00F872D9">
        <w:rPr>
          <w:i/>
          <w:iCs/>
          <w:sz w:val="22"/>
          <w:szCs w:val="22"/>
        </w:rPr>
        <w:t>and Several</w:t>
      </w:r>
      <w:r w:rsidR="00D53CEB" w:rsidRPr="00F872D9">
        <w:rPr>
          <w:i/>
          <w:iCs/>
          <w:sz w:val="22"/>
          <w:szCs w:val="22"/>
        </w:rPr>
        <w:t xml:space="preserve"> </w:t>
      </w:r>
      <w:r w:rsidRPr="00F872D9">
        <w:rPr>
          <w:i/>
          <w:iCs/>
          <w:sz w:val="22"/>
          <w:szCs w:val="22"/>
        </w:rPr>
        <w:t>Liquidators</w:t>
      </w:r>
    </w:p>
    <w:p w14:paraId="1BADA312" w14:textId="4796C2D4" w:rsidR="005210BB" w:rsidRPr="00F872D9" w:rsidRDefault="005210BB" w:rsidP="009A66B1">
      <w:pPr>
        <w:autoSpaceDE w:val="0"/>
        <w:autoSpaceDN w:val="0"/>
        <w:adjustRightInd w:val="0"/>
        <w:ind w:left="4111"/>
        <w:jc w:val="center"/>
        <w:rPr>
          <w:i/>
          <w:iCs/>
          <w:sz w:val="22"/>
          <w:szCs w:val="22"/>
        </w:rPr>
      </w:pPr>
      <w:r w:rsidRPr="00F872D9">
        <w:rPr>
          <w:i/>
          <w:iCs/>
          <w:sz w:val="22"/>
          <w:szCs w:val="22"/>
        </w:rPr>
        <w:t xml:space="preserve">acting as agents of the Company only </w:t>
      </w:r>
      <w:r w:rsidR="004C2744" w:rsidRPr="00F872D9">
        <w:rPr>
          <w:i/>
          <w:iCs/>
          <w:sz w:val="22"/>
          <w:szCs w:val="22"/>
        </w:rPr>
        <w:br/>
      </w:r>
      <w:r w:rsidRPr="00F872D9">
        <w:rPr>
          <w:i/>
          <w:iCs/>
          <w:sz w:val="22"/>
          <w:szCs w:val="22"/>
        </w:rPr>
        <w:t>and without personal liability</w:t>
      </w:r>
    </w:p>
    <w:p w14:paraId="71A2CE57" w14:textId="77777777" w:rsidR="001340CC" w:rsidRPr="00F872D9" w:rsidRDefault="001340CC" w:rsidP="005210BB">
      <w:pPr>
        <w:autoSpaceDE w:val="0"/>
        <w:autoSpaceDN w:val="0"/>
        <w:adjustRightInd w:val="0"/>
        <w:rPr>
          <w:i/>
          <w:iCs/>
          <w:sz w:val="22"/>
          <w:szCs w:val="22"/>
        </w:rPr>
      </w:pPr>
    </w:p>
    <w:p w14:paraId="6F55B61D" w14:textId="7C8801D5" w:rsidR="005210BB" w:rsidRPr="00F872D9" w:rsidRDefault="005210BB" w:rsidP="005210BB">
      <w:pPr>
        <w:autoSpaceDE w:val="0"/>
        <w:autoSpaceDN w:val="0"/>
        <w:adjustRightInd w:val="0"/>
        <w:rPr>
          <w:sz w:val="22"/>
          <w:szCs w:val="22"/>
        </w:rPr>
      </w:pPr>
      <w:r w:rsidRPr="00F872D9">
        <w:rPr>
          <w:sz w:val="22"/>
          <w:szCs w:val="22"/>
        </w:rPr>
        <w:t xml:space="preserve">Hong Kong, </w:t>
      </w:r>
      <w:r w:rsidR="002B622E">
        <w:rPr>
          <w:sz w:val="22"/>
          <w:szCs w:val="22"/>
        </w:rPr>
        <w:t>30</w:t>
      </w:r>
      <w:r w:rsidR="00DD6238" w:rsidRPr="00F872D9">
        <w:rPr>
          <w:sz w:val="22"/>
          <w:szCs w:val="22"/>
        </w:rPr>
        <w:t xml:space="preserve"> </w:t>
      </w:r>
      <w:r w:rsidR="000225C5" w:rsidRPr="00F872D9">
        <w:rPr>
          <w:sz w:val="22"/>
          <w:szCs w:val="22"/>
        </w:rPr>
        <w:t>June</w:t>
      </w:r>
      <w:r w:rsidRPr="00F872D9">
        <w:rPr>
          <w:sz w:val="22"/>
          <w:szCs w:val="22"/>
        </w:rPr>
        <w:t xml:space="preserve"> 202</w:t>
      </w:r>
      <w:r w:rsidR="00843467" w:rsidRPr="00F872D9">
        <w:rPr>
          <w:sz w:val="22"/>
          <w:szCs w:val="22"/>
        </w:rPr>
        <w:t>2</w:t>
      </w:r>
    </w:p>
    <w:p w14:paraId="134BA33B" w14:textId="13BE322E" w:rsidR="004C2744" w:rsidRPr="00F872D9" w:rsidRDefault="004C2744" w:rsidP="005210BB">
      <w:pPr>
        <w:autoSpaceDE w:val="0"/>
        <w:autoSpaceDN w:val="0"/>
        <w:adjustRightInd w:val="0"/>
        <w:jc w:val="both"/>
        <w:rPr>
          <w:i/>
          <w:iCs/>
          <w:sz w:val="22"/>
          <w:szCs w:val="22"/>
        </w:rPr>
      </w:pPr>
    </w:p>
    <w:p w14:paraId="0297BB99" w14:textId="77777777" w:rsidR="004C2744" w:rsidRPr="00F872D9" w:rsidRDefault="004C2744" w:rsidP="005210BB">
      <w:pPr>
        <w:autoSpaceDE w:val="0"/>
        <w:autoSpaceDN w:val="0"/>
        <w:adjustRightInd w:val="0"/>
        <w:jc w:val="both"/>
        <w:rPr>
          <w:i/>
          <w:iCs/>
          <w:sz w:val="22"/>
          <w:szCs w:val="22"/>
        </w:rPr>
      </w:pPr>
    </w:p>
    <w:p w14:paraId="7D195A75" w14:textId="29CF5DBB" w:rsidR="005210BB" w:rsidRPr="00F872D9" w:rsidRDefault="005210BB" w:rsidP="005210BB">
      <w:pPr>
        <w:autoSpaceDE w:val="0"/>
        <w:autoSpaceDN w:val="0"/>
        <w:adjustRightInd w:val="0"/>
        <w:jc w:val="both"/>
        <w:rPr>
          <w:i/>
          <w:iCs/>
          <w:sz w:val="21"/>
          <w:szCs w:val="21"/>
        </w:rPr>
      </w:pPr>
      <w:r w:rsidRPr="00F872D9">
        <w:rPr>
          <w:i/>
          <w:iCs/>
          <w:sz w:val="21"/>
          <w:szCs w:val="21"/>
        </w:rPr>
        <w:t>As at the date of this announcement, the executive directors of the Company are Mr. Peter Lee Coker Jr. (Chairman), Mr. Chow Chi Wah, Vincent and Ms. Chow Mun Yee. The independent non-executive directors of the Company are Dr. Lo Wing Yan, William, JP, Mr. Choi Wai Hong, Clifford</w:t>
      </w:r>
      <w:r w:rsidR="00160531" w:rsidRPr="00F872D9">
        <w:rPr>
          <w:i/>
          <w:iCs/>
          <w:sz w:val="21"/>
          <w:szCs w:val="21"/>
        </w:rPr>
        <w:t xml:space="preserve"> and</w:t>
      </w:r>
      <w:r w:rsidRPr="00F872D9">
        <w:rPr>
          <w:i/>
          <w:iCs/>
          <w:sz w:val="21"/>
          <w:szCs w:val="21"/>
        </w:rPr>
        <w:t xml:space="preserve"> Ms. Liu Tsui Fong.</w:t>
      </w:r>
    </w:p>
    <w:p w14:paraId="50B0407A" w14:textId="77777777" w:rsidR="005210BB" w:rsidRPr="00F872D9" w:rsidRDefault="005210BB" w:rsidP="005210BB">
      <w:pPr>
        <w:autoSpaceDE w:val="0"/>
        <w:autoSpaceDN w:val="0"/>
        <w:adjustRightInd w:val="0"/>
        <w:jc w:val="both"/>
        <w:rPr>
          <w:i/>
          <w:iCs/>
          <w:sz w:val="21"/>
          <w:szCs w:val="21"/>
        </w:rPr>
      </w:pPr>
    </w:p>
    <w:p w14:paraId="14A65978" w14:textId="2DE106A7" w:rsidR="005210BB" w:rsidRPr="00F872D9" w:rsidRDefault="005210BB" w:rsidP="005210BB">
      <w:pPr>
        <w:autoSpaceDE w:val="0"/>
        <w:autoSpaceDN w:val="0"/>
        <w:adjustRightInd w:val="0"/>
        <w:jc w:val="both"/>
        <w:rPr>
          <w:i/>
          <w:iCs/>
          <w:sz w:val="21"/>
          <w:szCs w:val="21"/>
        </w:rPr>
      </w:pPr>
      <w:r w:rsidRPr="00F872D9">
        <w:rPr>
          <w:i/>
          <w:iCs/>
          <w:sz w:val="21"/>
          <w:szCs w:val="21"/>
        </w:rPr>
        <w:t xml:space="preserve">The affairs, business and property of the Company are being managed by the Joint </w:t>
      </w:r>
      <w:r w:rsidR="00843467" w:rsidRPr="00F872D9">
        <w:rPr>
          <w:i/>
          <w:iCs/>
          <w:sz w:val="21"/>
          <w:szCs w:val="21"/>
        </w:rPr>
        <w:t xml:space="preserve">and Several </w:t>
      </w:r>
      <w:r w:rsidRPr="00F872D9">
        <w:rPr>
          <w:i/>
          <w:iCs/>
          <w:sz w:val="21"/>
          <w:szCs w:val="21"/>
        </w:rPr>
        <w:t>Liquidators who act as agents of the Company only and without personal liability.</w:t>
      </w:r>
    </w:p>
    <w:p w14:paraId="5918173A" w14:textId="77777777" w:rsidR="00133015" w:rsidRPr="005210BB" w:rsidRDefault="00133015" w:rsidP="009A66B1">
      <w:pPr>
        <w:jc w:val="both"/>
        <w:rPr>
          <w:i/>
          <w:iCs/>
          <w:sz w:val="20"/>
        </w:rPr>
      </w:pPr>
    </w:p>
    <w:sectPr w:rsidR="00133015" w:rsidRPr="005210BB" w:rsidSect="00D8409D">
      <w:footerReference w:type="even" r:id="rId9"/>
      <w:footerReference w:type="default" r:id="rId10"/>
      <w:pgSz w:w="11907" w:h="16840" w:code="9"/>
      <w:pgMar w:top="993" w:right="1418" w:bottom="709" w:left="1418"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60CF" w14:textId="77777777" w:rsidR="00B13B6E" w:rsidRDefault="00B13B6E">
      <w:r>
        <w:separator/>
      </w:r>
    </w:p>
  </w:endnote>
  <w:endnote w:type="continuationSeparator" w:id="0">
    <w:p w14:paraId="3BC484A8" w14:textId="77777777" w:rsidR="00B13B6E" w:rsidRDefault="00B1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3FC2" w14:textId="77777777" w:rsidR="009C1ADA" w:rsidRDefault="007B0E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A0AC06" w14:textId="77777777" w:rsidR="009C1ADA" w:rsidRDefault="00A77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4E0B" w14:textId="77777777" w:rsidR="000C74D6" w:rsidRPr="000C74D6" w:rsidRDefault="00A77241">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A08A" w14:textId="77777777" w:rsidR="00B13B6E" w:rsidRDefault="00B13B6E">
      <w:r>
        <w:separator/>
      </w:r>
    </w:p>
  </w:footnote>
  <w:footnote w:type="continuationSeparator" w:id="0">
    <w:p w14:paraId="7F9D1280" w14:textId="77777777" w:rsidR="00B13B6E" w:rsidRDefault="00B13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1FD8"/>
    <w:multiLevelType w:val="hybridMultilevel"/>
    <w:tmpl w:val="972630A2"/>
    <w:lvl w:ilvl="0" w:tplc="228CA88C">
      <w:start w:val="1"/>
      <w:numFmt w:val="decimal"/>
      <w:lvlText w:val="%1."/>
      <w:lvlJc w:val="left"/>
      <w:pPr>
        <w:tabs>
          <w:tab w:val="num" w:pos="705"/>
        </w:tabs>
        <w:ind w:left="705" w:hanging="705"/>
      </w:pPr>
      <w:rPr>
        <w:rFonts w:hint="eastAsia"/>
      </w:rPr>
    </w:lvl>
    <w:lvl w:ilvl="1" w:tplc="ACA23F42" w:tentative="1">
      <w:start w:val="1"/>
      <w:numFmt w:val="ideographTraditional"/>
      <w:lvlText w:val="%2、"/>
      <w:lvlJc w:val="left"/>
      <w:pPr>
        <w:tabs>
          <w:tab w:val="num" w:pos="960"/>
        </w:tabs>
        <w:ind w:left="960" w:hanging="480"/>
      </w:pPr>
    </w:lvl>
    <w:lvl w:ilvl="2" w:tplc="3BF47FE4" w:tentative="1">
      <w:start w:val="1"/>
      <w:numFmt w:val="lowerRoman"/>
      <w:lvlText w:val="%3."/>
      <w:lvlJc w:val="right"/>
      <w:pPr>
        <w:tabs>
          <w:tab w:val="num" w:pos="1440"/>
        </w:tabs>
        <w:ind w:left="1440" w:hanging="480"/>
      </w:pPr>
    </w:lvl>
    <w:lvl w:ilvl="3" w:tplc="BE30EAA2" w:tentative="1">
      <w:start w:val="1"/>
      <w:numFmt w:val="decimal"/>
      <w:lvlText w:val="%4."/>
      <w:lvlJc w:val="left"/>
      <w:pPr>
        <w:tabs>
          <w:tab w:val="num" w:pos="1920"/>
        </w:tabs>
        <w:ind w:left="1920" w:hanging="480"/>
      </w:pPr>
    </w:lvl>
    <w:lvl w:ilvl="4" w:tplc="EC6688EC" w:tentative="1">
      <w:start w:val="1"/>
      <w:numFmt w:val="ideographTraditional"/>
      <w:lvlText w:val="%5、"/>
      <w:lvlJc w:val="left"/>
      <w:pPr>
        <w:tabs>
          <w:tab w:val="num" w:pos="2400"/>
        </w:tabs>
        <w:ind w:left="2400" w:hanging="480"/>
      </w:pPr>
    </w:lvl>
    <w:lvl w:ilvl="5" w:tplc="70722FE0" w:tentative="1">
      <w:start w:val="1"/>
      <w:numFmt w:val="lowerRoman"/>
      <w:lvlText w:val="%6."/>
      <w:lvlJc w:val="right"/>
      <w:pPr>
        <w:tabs>
          <w:tab w:val="num" w:pos="2880"/>
        </w:tabs>
        <w:ind w:left="2880" w:hanging="480"/>
      </w:pPr>
    </w:lvl>
    <w:lvl w:ilvl="6" w:tplc="2592BC24" w:tentative="1">
      <w:start w:val="1"/>
      <w:numFmt w:val="decimal"/>
      <w:lvlText w:val="%7."/>
      <w:lvlJc w:val="left"/>
      <w:pPr>
        <w:tabs>
          <w:tab w:val="num" w:pos="3360"/>
        </w:tabs>
        <w:ind w:left="3360" w:hanging="480"/>
      </w:pPr>
    </w:lvl>
    <w:lvl w:ilvl="7" w:tplc="67C2E32E" w:tentative="1">
      <w:start w:val="1"/>
      <w:numFmt w:val="ideographTraditional"/>
      <w:lvlText w:val="%8、"/>
      <w:lvlJc w:val="left"/>
      <w:pPr>
        <w:tabs>
          <w:tab w:val="num" w:pos="3840"/>
        </w:tabs>
        <w:ind w:left="3840" w:hanging="480"/>
      </w:pPr>
    </w:lvl>
    <w:lvl w:ilvl="8" w:tplc="FA38EAFE" w:tentative="1">
      <w:start w:val="1"/>
      <w:numFmt w:val="lowerRoman"/>
      <w:lvlText w:val="%9."/>
      <w:lvlJc w:val="right"/>
      <w:pPr>
        <w:tabs>
          <w:tab w:val="num" w:pos="4320"/>
        </w:tabs>
        <w:ind w:left="4320" w:hanging="480"/>
      </w:pPr>
    </w:lvl>
  </w:abstractNum>
  <w:abstractNum w:abstractNumId="1" w15:restartNumberingAfterBreak="0">
    <w:nsid w:val="0D385588"/>
    <w:multiLevelType w:val="hybridMultilevel"/>
    <w:tmpl w:val="C25241F8"/>
    <w:lvl w:ilvl="0" w:tplc="ED5EC046">
      <w:start w:val="1"/>
      <w:numFmt w:val="decimal"/>
      <w:lvlText w:val="%1."/>
      <w:lvlJc w:val="left"/>
      <w:pPr>
        <w:tabs>
          <w:tab w:val="num" w:pos="360"/>
        </w:tabs>
        <w:ind w:left="360" w:hanging="360"/>
      </w:pPr>
      <w:rPr>
        <w:rFonts w:hint="eastAsia"/>
        <w:color w:val="auto"/>
      </w:rPr>
    </w:lvl>
    <w:lvl w:ilvl="1" w:tplc="E8CA425C" w:tentative="1">
      <w:start w:val="1"/>
      <w:numFmt w:val="ideographTraditional"/>
      <w:lvlText w:val="%2、"/>
      <w:lvlJc w:val="left"/>
      <w:pPr>
        <w:tabs>
          <w:tab w:val="num" w:pos="960"/>
        </w:tabs>
        <w:ind w:left="960" w:hanging="480"/>
      </w:pPr>
    </w:lvl>
    <w:lvl w:ilvl="2" w:tplc="49B06954" w:tentative="1">
      <w:start w:val="1"/>
      <w:numFmt w:val="lowerRoman"/>
      <w:lvlText w:val="%3."/>
      <w:lvlJc w:val="right"/>
      <w:pPr>
        <w:tabs>
          <w:tab w:val="num" w:pos="1440"/>
        </w:tabs>
        <w:ind w:left="1440" w:hanging="480"/>
      </w:pPr>
    </w:lvl>
    <w:lvl w:ilvl="3" w:tplc="37B6C102" w:tentative="1">
      <w:start w:val="1"/>
      <w:numFmt w:val="decimal"/>
      <w:lvlText w:val="%4."/>
      <w:lvlJc w:val="left"/>
      <w:pPr>
        <w:tabs>
          <w:tab w:val="num" w:pos="1920"/>
        </w:tabs>
        <w:ind w:left="1920" w:hanging="480"/>
      </w:pPr>
    </w:lvl>
    <w:lvl w:ilvl="4" w:tplc="187E093C" w:tentative="1">
      <w:start w:val="1"/>
      <w:numFmt w:val="ideographTraditional"/>
      <w:lvlText w:val="%5、"/>
      <w:lvlJc w:val="left"/>
      <w:pPr>
        <w:tabs>
          <w:tab w:val="num" w:pos="2400"/>
        </w:tabs>
        <w:ind w:left="2400" w:hanging="480"/>
      </w:pPr>
    </w:lvl>
    <w:lvl w:ilvl="5" w:tplc="91D07B94" w:tentative="1">
      <w:start w:val="1"/>
      <w:numFmt w:val="lowerRoman"/>
      <w:lvlText w:val="%6."/>
      <w:lvlJc w:val="right"/>
      <w:pPr>
        <w:tabs>
          <w:tab w:val="num" w:pos="2880"/>
        </w:tabs>
        <w:ind w:left="2880" w:hanging="480"/>
      </w:pPr>
    </w:lvl>
    <w:lvl w:ilvl="6" w:tplc="499E9AC8" w:tentative="1">
      <w:start w:val="1"/>
      <w:numFmt w:val="decimal"/>
      <w:lvlText w:val="%7."/>
      <w:lvlJc w:val="left"/>
      <w:pPr>
        <w:tabs>
          <w:tab w:val="num" w:pos="3360"/>
        </w:tabs>
        <w:ind w:left="3360" w:hanging="480"/>
      </w:pPr>
    </w:lvl>
    <w:lvl w:ilvl="7" w:tplc="7D50F460" w:tentative="1">
      <w:start w:val="1"/>
      <w:numFmt w:val="ideographTraditional"/>
      <w:lvlText w:val="%8、"/>
      <w:lvlJc w:val="left"/>
      <w:pPr>
        <w:tabs>
          <w:tab w:val="num" w:pos="3840"/>
        </w:tabs>
        <w:ind w:left="3840" w:hanging="480"/>
      </w:pPr>
    </w:lvl>
    <w:lvl w:ilvl="8" w:tplc="8A9AE14C" w:tentative="1">
      <w:start w:val="1"/>
      <w:numFmt w:val="lowerRoman"/>
      <w:lvlText w:val="%9."/>
      <w:lvlJc w:val="right"/>
      <w:pPr>
        <w:tabs>
          <w:tab w:val="num" w:pos="4320"/>
        </w:tabs>
        <w:ind w:left="4320" w:hanging="480"/>
      </w:pPr>
    </w:lvl>
  </w:abstractNum>
  <w:abstractNum w:abstractNumId="2" w15:restartNumberingAfterBreak="0">
    <w:nsid w:val="178860F8"/>
    <w:multiLevelType w:val="multilevel"/>
    <w:tmpl w:val="3B489A18"/>
    <w:lvl w:ilvl="0">
      <w:start w:val="3"/>
      <w:numFmt w:val="decimal"/>
      <w:lvlText w:val="%1."/>
      <w:lvlJc w:val="left"/>
      <w:pPr>
        <w:tabs>
          <w:tab w:val="num" w:pos="720"/>
        </w:tabs>
        <w:ind w:left="720" w:hanging="72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18FD57CC"/>
    <w:multiLevelType w:val="singleLevel"/>
    <w:tmpl w:val="C91CD68E"/>
    <w:lvl w:ilvl="0">
      <w:start w:val="1"/>
      <w:numFmt w:val="decimal"/>
      <w:lvlText w:val="%1."/>
      <w:lvlJc w:val="left"/>
      <w:pPr>
        <w:tabs>
          <w:tab w:val="num" w:pos="360"/>
        </w:tabs>
        <w:ind w:left="360" w:hanging="360"/>
      </w:pPr>
      <w:rPr>
        <w:rFonts w:hint="default"/>
      </w:rPr>
    </w:lvl>
  </w:abstractNum>
  <w:abstractNum w:abstractNumId="4" w15:restartNumberingAfterBreak="0">
    <w:nsid w:val="190D49EE"/>
    <w:multiLevelType w:val="hybridMultilevel"/>
    <w:tmpl w:val="B716763A"/>
    <w:lvl w:ilvl="0" w:tplc="5B6CCD0E">
      <w:start w:val="1"/>
      <w:numFmt w:val="decimal"/>
      <w:lvlText w:val="%1."/>
      <w:lvlJc w:val="left"/>
      <w:pPr>
        <w:tabs>
          <w:tab w:val="num" w:pos="360"/>
        </w:tabs>
        <w:ind w:left="360" w:hanging="360"/>
      </w:pPr>
      <w:rPr>
        <w:rFonts w:hint="eastAsia"/>
      </w:rPr>
    </w:lvl>
    <w:lvl w:ilvl="1" w:tplc="4910724C" w:tentative="1">
      <w:start w:val="1"/>
      <w:numFmt w:val="ideographTraditional"/>
      <w:lvlText w:val="%2、"/>
      <w:lvlJc w:val="left"/>
      <w:pPr>
        <w:tabs>
          <w:tab w:val="num" w:pos="960"/>
        </w:tabs>
        <w:ind w:left="960" w:hanging="480"/>
      </w:pPr>
    </w:lvl>
    <w:lvl w:ilvl="2" w:tplc="5B0AE7A4" w:tentative="1">
      <w:start w:val="1"/>
      <w:numFmt w:val="lowerRoman"/>
      <w:lvlText w:val="%3."/>
      <w:lvlJc w:val="right"/>
      <w:pPr>
        <w:tabs>
          <w:tab w:val="num" w:pos="1440"/>
        </w:tabs>
        <w:ind w:left="1440" w:hanging="480"/>
      </w:pPr>
    </w:lvl>
    <w:lvl w:ilvl="3" w:tplc="3CFE62E0" w:tentative="1">
      <w:start w:val="1"/>
      <w:numFmt w:val="decimal"/>
      <w:lvlText w:val="%4."/>
      <w:lvlJc w:val="left"/>
      <w:pPr>
        <w:tabs>
          <w:tab w:val="num" w:pos="1920"/>
        </w:tabs>
        <w:ind w:left="1920" w:hanging="480"/>
      </w:pPr>
    </w:lvl>
    <w:lvl w:ilvl="4" w:tplc="88A6D0F0" w:tentative="1">
      <w:start w:val="1"/>
      <w:numFmt w:val="ideographTraditional"/>
      <w:lvlText w:val="%5、"/>
      <w:lvlJc w:val="left"/>
      <w:pPr>
        <w:tabs>
          <w:tab w:val="num" w:pos="2400"/>
        </w:tabs>
        <w:ind w:left="2400" w:hanging="480"/>
      </w:pPr>
    </w:lvl>
    <w:lvl w:ilvl="5" w:tplc="1C789B9E" w:tentative="1">
      <w:start w:val="1"/>
      <w:numFmt w:val="lowerRoman"/>
      <w:lvlText w:val="%6."/>
      <w:lvlJc w:val="right"/>
      <w:pPr>
        <w:tabs>
          <w:tab w:val="num" w:pos="2880"/>
        </w:tabs>
        <w:ind w:left="2880" w:hanging="480"/>
      </w:pPr>
    </w:lvl>
    <w:lvl w:ilvl="6" w:tplc="6F684588" w:tentative="1">
      <w:start w:val="1"/>
      <w:numFmt w:val="decimal"/>
      <w:lvlText w:val="%7."/>
      <w:lvlJc w:val="left"/>
      <w:pPr>
        <w:tabs>
          <w:tab w:val="num" w:pos="3360"/>
        </w:tabs>
        <w:ind w:left="3360" w:hanging="480"/>
      </w:pPr>
    </w:lvl>
    <w:lvl w:ilvl="7" w:tplc="F5E62B2A" w:tentative="1">
      <w:start w:val="1"/>
      <w:numFmt w:val="ideographTraditional"/>
      <w:lvlText w:val="%8、"/>
      <w:lvlJc w:val="left"/>
      <w:pPr>
        <w:tabs>
          <w:tab w:val="num" w:pos="3840"/>
        </w:tabs>
        <w:ind w:left="3840" w:hanging="480"/>
      </w:pPr>
    </w:lvl>
    <w:lvl w:ilvl="8" w:tplc="6B56310C" w:tentative="1">
      <w:start w:val="1"/>
      <w:numFmt w:val="lowerRoman"/>
      <w:lvlText w:val="%9."/>
      <w:lvlJc w:val="right"/>
      <w:pPr>
        <w:tabs>
          <w:tab w:val="num" w:pos="4320"/>
        </w:tabs>
        <w:ind w:left="4320" w:hanging="480"/>
      </w:pPr>
    </w:lvl>
  </w:abstractNum>
  <w:abstractNum w:abstractNumId="5" w15:restartNumberingAfterBreak="0">
    <w:nsid w:val="38E90E85"/>
    <w:multiLevelType w:val="hybridMultilevel"/>
    <w:tmpl w:val="6B54D372"/>
    <w:lvl w:ilvl="0" w:tplc="EE444C82">
      <w:start w:val="1"/>
      <w:numFmt w:val="bullet"/>
      <w:lvlText w:val=""/>
      <w:lvlJc w:val="left"/>
      <w:pPr>
        <w:tabs>
          <w:tab w:val="num" w:pos="504"/>
        </w:tabs>
        <w:ind w:left="504" w:hanging="360"/>
      </w:pPr>
      <w:rPr>
        <w:rFonts w:ascii="Symbol" w:hAnsi="Symbol" w:hint="default"/>
      </w:rPr>
    </w:lvl>
    <w:lvl w:ilvl="1" w:tplc="A12C9D38" w:tentative="1">
      <w:start w:val="1"/>
      <w:numFmt w:val="bullet"/>
      <w:lvlText w:val=""/>
      <w:lvlJc w:val="left"/>
      <w:pPr>
        <w:tabs>
          <w:tab w:val="num" w:pos="1104"/>
        </w:tabs>
        <w:ind w:left="1104" w:hanging="480"/>
      </w:pPr>
      <w:rPr>
        <w:rFonts w:ascii="Wingdings" w:hAnsi="Wingdings" w:hint="default"/>
      </w:rPr>
    </w:lvl>
    <w:lvl w:ilvl="2" w:tplc="FA64827C" w:tentative="1">
      <w:start w:val="1"/>
      <w:numFmt w:val="bullet"/>
      <w:lvlText w:val=""/>
      <w:lvlJc w:val="left"/>
      <w:pPr>
        <w:tabs>
          <w:tab w:val="num" w:pos="1584"/>
        </w:tabs>
        <w:ind w:left="1584" w:hanging="480"/>
      </w:pPr>
      <w:rPr>
        <w:rFonts w:ascii="Wingdings" w:hAnsi="Wingdings" w:hint="default"/>
      </w:rPr>
    </w:lvl>
    <w:lvl w:ilvl="3" w:tplc="38F44FB0" w:tentative="1">
      <w:start w:val="1"/>
      <w:numFmt w:val="bullet"/>
      <w:lvlText w:val=""/>
      <w:lvlJc w:val="left"/>
      <w:pPr>
        <w:tabs>
          <w:tab w:val="num" w:pos="2064"/>
        </w:tabs>
        <w:ind w:left="2064" w:hanging="480"/>
      </w:pPr>
      <w:rPr>
        <w:rFonts w:ascii="Wingdings" w:hAnsi="Wingdings" w:hint="default"/>
      </w:rPr>
    </w:lvl>
    <w:lvl w:ilvl="4" w:tplc="7DBAC6EE" w:tentative="1">
      <w:start w:val="1"/>
      <w:numFmt w:val="bullet"/>
      <w:lvlText w:val=""/>
      <w:lvlJc w:val="left"/>
      <w:pPr>
        <w:tabs>
          <w:tab w:val="num" w:pos="2544"/>
        </w:tabs>
        <w:ind w:left="2544" w:hanging="480"/>
      </w:pPr>
      <w:rPr>
        <w:rFonts w:ascii="Wingdings" w:hAnsi="Wingdings" w:hint="default"/>
      </w:rPr>
    </w:lvl>
    <w:lvl w:ilvl="5" w:tplc="11AEC2D0" w:tentative="1">
      <w:start w:val="1"/>
      <w:numFmt w:val="bullet"/>
      <w:lvlText w:val=""/>
      <w:lvlJc w:val="left"/>
      <w:pPr>
        <w:tabs>
          <w:tab w:val="num" w:pos="3024"/>
        </w:tabs>
        <w:ind w:left="3024" w:hanging="480"/>
      </w:pPr>
      <w:rPr>
        <w:rFonts w:ascii="Wingdings" w:hAnsi="Wingdings" w:hint="default"/>
      </w:rPr>
    </w:lvl>
    <w:lvl w:ilvl="6" w:tplc="57A4C4C8" w:tentative="1">
      <w:start w:val="1"/>
      <w:numFmt w:val="bullet"/>
      <w:lvlText w:val=""/>
      <w:lvlJc w:val="left"/>
      <w:pPr>
        <w:tabs>
          <w:tab w:val="num" w:pos="3504"/>
        </w:tabs>
        <w:ind w:left="3504" w:hanging="480"/>
      </w:pPr>
      <w:rPr>
        <w:rFonts w:ascii="Wingdings" w:hAnsi="Wingdings" w:hint="default"/>
      </w:rPr>
    </w:lvl>
    <w:lvl w:ilvl="7" w:tplc="B98A7E48" w:tentative="1">
      <w:start w:val="1"/>
      <w:numFmt w:val="bullet"/>
      <w:lvlText w:val=""/>
      <w:lvlJc w:val="left"/>
      <w:pPr>
        <w:tabs>
          <w:tab w:val="num" w:pos="3984"/>
        </w:tabs>
        <w:ind w:left="3984" w:hanging="480"/>
      </w:pPr>
      <w:rPr>
        <w:rFonts w:ascii="Wingdings" w:hAnsi="Wingdings" w:hint="default"/>
      </w:rPr>
    </w:lvl>
    <w:lvl w:ilvl="8" w:tplc="24E8281A" w:tentative="1">
      <w:start w:val="1"/>
      <w:numFmt w:val="bullet"/>
      <w:lvlText w:val=""/>
      <w:lvlJc w:val="left"/>
      <w:pPr>
        <w:tabs>
          <w:tab w:val="num" w:pos="4464"/>
        </w:tabs>
        <w:ind w:left="4464" w:hanging="480"/>
      </w:pPr>
      <w:rPr>
        <w:rFonts w:ascii="Wingdings" w:hAnsi="Wingdings" w:hint="default"/>
      </w:rPr>
    </w:lvl>
  </w:abstractNum>
  <w:abstractNum w:abstractNumId="6" w15:restartNumberingAfterBreak="0">
    <w:nsid w:val="50CD1A7E"/>
    <w:multiLevelType w:val="hybridMultilevel"/>
    <w:tmpl w:val="24A42562"/>
    <w:lvl w:ilvl="0" w:tplc="C888B55C">
      <w:start w:val="1"/>
      <w:numFmt w:val="bullet"/>
      <w:lvlText w:val=""/>
      <w:lvlJc w:val="left"/>
      <w:pPr>
        <w:tabs>
          <w:tab w:val="num" w:pos="360"/>
        </w:tabs>
        <w:ind w:left="360" w:hanging="360"/>
      </w:pPr>
      <w:rPr>
        <w:rFonts w:ascii="Symbol" w:hAnsi="Symbol" w:hint="default"/>
      </w:rPr>
    </w:lvl>
    <w:lvl w:ilvl="1" w:tplc="F86ABDDA" w:tentative="1">
      <w:start w:val="1"/>
      <w:numFmt w:val="bullet"/>
      <w:lvlText w:val=""/>
      <w:lvlJc w:val="left"/>
      <w:pPr>
        <w:tabs>
          <w:tab w:val="num" w:pos="960"/>
        </w:tabs>
        <w:ind w:left="960" w:hanging="480"/>
      </w:pPr>
      <w:rPr>
        <w:rFonts w:ascii="Wingdings" w:hAnsi="Wingdings" w:hint="default"/>
      </w:rPr>
    </w:lvl>
    <w:lvl w:ilvl="2" w:tplc="D07CD8EC" w:tentative="1">
      <w:start w:val="1"/>
      <w:numFmt w:val="bullet"/>
      <w:lvlText w:val=""/>
      <w:lvlJc w:val="left"/>
      <w:pPr>
        <w:tabs>
          <w:tab w:val="num" w:pos="1440"/>
        </w:tabs>
        <w:ind w:left="1440" w:hanging="480"/>
      </w:pPr>
      <w:rPr>
        <w:rFonts w:ascii="Wingdings" w:hAnsi="Wingdings" w:hint="default"/>
      </w:rPr>
    </w:lvl>
    <w:lvl w:ilvl="3" w:tplc="7A6C0056" w:tentative="1">
      <w:start w:val="1"/>
      <w:numFmt w:val="bullet"/>
      <w:lvlText w:val=""/>
      <w:lvlJc w:val="left"/>
      <w:pPr>
        <w:tabs>
          <w:tab w:val="num" w:pos="1920"/>
        </w:tabs>
        <w:ind w:left="1920" w:hanging="480"/>
      </w:pPr>
      <w:rPr>
        <w:rFonts w:ascii="Wingdings" w:hAnsi="Wingdings" w:hint="default"/>
      </w:rPr>
    </w:lvl>
    <w:lvl w:ilvl="4" w:tplc="2D14C57E" w:tentative="1">
      <w:start w:val="1"/>
      <w:numFmt w:val="bullet"/>
      <w:lvlText w:val=""/>
      <w:lvlJc w:val="left"/>
      <w:pPr>
        <w:tabs>
          <w:tab w:val="num" w:pos="2400"/>
        </w:tabs>
        <w:ind w:left="2400" w:hanging="480"/>
      </w:pPr>
      <w:rPr>
        <w:rFonts w:ascii="Wingdings" w:hAnsi="Wingdings" w:hint="default"/>
      </w:rPr>
    </w:lvl>
    <w:lvl w:ilvl="5" w:tplc="1304E90E" w:tentative="1">
      <w:start w:val="1"/>
      <w:numFmt w:val="bullet"/>
      <w:lvlText w:val=""/>
      <w:lvlJc w:val="left"/>
      <w:pPr>
        <w:tabs>
          <w:tab w:val="num" w:pos="2880"/>
        </w:tabs>
        <w:ind w:left="2880" w:hanging="480"/>
      </w:pPr>
      <w:rPr>
        <w:rFonts w:ascii="Wingdings" w:hAnsi="Wingdings" w:hint="default"/>
      </w:rPr>
    </w:lvl>
    <w:lvl w:ilvl="6" w:tplc="41BAE548" w:tentative="1">
      <w:start w:val="1"/>
      <w:numFmt w:val="bullet"/>
      <w:lvlText w:val=""/>
      <w:lvlJc w:val="left"/>
      <w:pPr>
        <w:tabs>
          <w:tab w:val="num" w:pos="3360"/>
        </w:tabs>
        <w:ind w:left="3360" w:hanging="480"/>
      </w:pPr>
      <w:rPr>
        <w:rFonts w:ascii="Wingdings" w:hAnsi="Wingdings" w:hint="default"/>
      </w:rPr>
    </w:lvl>
    <w:lvl w:ilvl="7" w:tplc="B54A52A6" w:tentative="1">
      <w:start w:val="1"/>
      <w:numFmt w:val="bullet"/>
      <w:lvlText w:val=""/>
      <w:lvlJc w:val="left"/>
      <w:pPr>
        <w:tabs>
          <w:tab w:val="num" w:pos="3840"/>
        </w:tabs>
        <w:ind w:left="3840" w:hanging="480"/>
      </w:pPr>
      <w:rPr>
        <w:rFonts w:ascii="Wingdings" w:hAnsi="Wingdings" w:hint="default"/>
      </w:rPr>
    </w:lvl>
    <w:lvl w:ilvl="8" w:tplc="1026F2AA"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9EA1179"/>
    <w:multiLevelType w:val="hybridMultilevel"/>
    <w:tmpl w:val="779E74B6"/>
    <w:lvl w:ilvl="0" w:tplc="0EB46EDA">
      <w:start w:val="2"/>
      <w:numFmt w:val="decimal"/>
      <w:lvlText w:val="%1."/>
      <w:lvlJc w:val="left"/>
      <w:pPr>
        <w:tabs>
          <w:tab w:val="num" w:pos="360"/>
        </w:tabs>
        <w:ind w:left="360" w:hanging="360"/>
      </w:pPr>
      <w:rPr>
        <w:rFonts w:hint="default"/>
      </w:rPr>
    </w:lvl>
    <w:lvl w:ilvl="1" w:tplc="384AFC2E" w:tentative="1">
      <w:start w:val="1"/>
      <w:numFmt w:val="ideographTraditional"/>
      <w:lvlText w:val="%2、"/>
      <w:lvlJc w:val="left"/>
      <w:pPr>
        <w:tabs>
          <w:tab w:val="num" w:pos="960"/>
        </w:tabs>
        <w:ind w:left="960" w:hanging="480"/>
      </w:pPr>
    </w:lvl>
    <w:lvl w:ilvl="2" w:tplc="26E21D82" w:tentative="1">
      <w:start w:val="1"/>
      <w:numFmt w:val="lowerRoman"/>
      <w:lvlText w:val="%3."/>
      <w:lvlJc w:val="right"/>
      <w:pPr>
        <w:tabs>
          <w:tab w:val="num" w:pos="1440"/>
        </w:tabs>
        <w:ind w:left="1440" w:hanging="480"/>
      </w:pPr>
    </w:lvl>
    <w:lvl w:ilvl="3" w:tplc="89F0555E" w:tentative="1">
      <w:start w:val="1"/>
      <w:numFmt w:val="decimal"/>
      <w:lvlText w:val="%4."/>
      <w:lvlJc w:val="left"/>
      <w:pPr>
        <w:tabs>
          <w:tab w:val="num" w:pos="1920"/>
        </w:tabs>
        <w:ind w:left="1920" w:hanging="480"/>
      </w:pPr>
    </w:lvl>
    <w:lvl w:ilvl="4" w:tplc="5C906E1A" w:tentative="1">
      <w:start w:val="1"/>
      <w:numFmt w:val="ideographTraditional"/>
      <w:lvlText w:val="%5、"/>
      <w:lvlJc w:val="left"/>
      <w:pPr>
        <w:tabs>
          <w:tab w:val="num" w:pos="2400"/>
        </w:tabs>
        <w:ind w:left="2400" w:hanging="480"/>
      </w:pPr>
    </w:lvl>
    <w:lvl w:ilvl="5" w:tplc="40265B4C" w:tentative="1">
      <w:start w:val="1"/>
      <w:numFmt w:val="lowerRoman"/>
      <w:lvlText w:val="%6."/>
      <w:lvlJc w:val="right"/>
      <w:pPr>
        <w:tabs>
          <w:tab w:val="num" w:pos="2880"/>
        </w:tabs>
        <w:ind w:left="2880" w:hanging="480"/>
      </w:pPr>
    </w:lvl>
    <w:lvl w:ilvl="6" w:tplc="D0943684" w:tentative="1">
      <w:start w:val="1"/>
      <w:numFmt w:val="decimal"/>
      <w:lvlText w:val="%7."/>
      <w:lvlJc w:val="left"/>
      <w:pPr>
        <w:tabs>
          <w:tab w:val="num" w:pos="3360"/>
        </w:tabs>
        <w:ind w:left="3360" w:hanging="480"/>
      </w:pPr>
    </w:lvl>
    <w:lvl w:ilvl="7" w:tplc="D464A040" w:tentative="1">
      <w:start w:val="1"/>
      <w:numFmt w:val="ideographTraditional"/>
      <w:lvlText w:val="%8、"/>
      <w:lvlJc w:val="left"/>
      <w:pPr>
        <w:tabs>
          <w:tab w:val="num" w:pos="3840"/>
        </w:tabs>
        <w:ind w:left="3840" w:hanging="480"/>
      </w:pPr>
    </w:lvl>
    <w:lvl w:ilvl="8" w:tplc="49CCA77A" w:tentative="1">
      <w:start w:val="1"/>
      <w:numFmt w:val="lowerRoman"/>
      <w:lvlText w:val="%9."/>
      <w:lvlJc w:val="right"/>
      <w:pPr>
        <w:tabs>
          <w:tab w:val="num" w:pos="4320"/>
        </w:tabs>
        <w:ind w:left="4320" w:hanging="480"/>
      </w:pPr>
    </w:lvl>
  </w:abstractNum>
  <w:abstractNum w:abstractNumId="8" w15:restartNumberingAfterBreak="0">
    <w:nsid w:val="79E50606"/>
    <w:multiLevelType w:val="hybridMultilevel"/>
    <w:tmpl w:val="1C1A61F6"/>
    <w:lvl w:ilvl="0" w:tplc="C6C0417C">
      <w:start w:val="1"/>
      <w:numFmt w:val="decimal"/>
      <w:lvlText w:val="%1."/>
      <w:lvlJc w:val="left"/>
      <w:pPr>
        <w:tabs>
          <w:tab w:val="num" w:pos="480"/>
        </w:tabs>
        <w:ind w:left="480" w:hanging="480"/>
      </w:pPr>
      <w:rPr>
        <w:rFonts w:hint="eastAsia"/>
      </w:rPr>
    </w:lvl>
    <w:lvl w:ilvl="1" w:tplc="AFD62862" w:tentative="1">
      <w:start w:val="1"/>
      <w:numFmt w:val="ideographTraditional"/>
      <w:lvlText w:val="%2、"/>
      <w:lvlJc w:val="left"/>
      <w:pPr>
        <w:tabs>
          <w:tab w:val="num" w:pos="960"/>
        </w:tabs>
        <w:ind w:left="960" w:hanging="480"/>
      </w:pPr>
    </w:lvl>
    <w:lvl w:ilvl="2" w:tplc="81B0B8D4" w:tentative="1">
      <w:start w:val="1"/>
      <w:numFmt w:val="lowerRoman"/>
      <w:lvlText w:val="%3."/>
      <w:lvlJc w:val="right"/>
      <w:pPr>
        <w:tabs>
          <w:tab w:val="num" w:pos="1440"/>
        </w:tabs>
        <w:ind w:left="1440" w:hanging="480"/>
      </w:pPr>
    </w:lvl>
    <w:lvl w:ilvl="3" w:tplc="122A4EBE" w:tentative="1">
      <w:start w:val="1"/>
      <w:numFmt w:val="decimal"/>
      <w:lvlText w:val="%4."/>
      <w:lvlJc w:val="left"/>
      <w:pPr>
        <w:tabs>
          <w:tab w:val="num" w:pos="1920"/>
        </w:tabs>
        <w:ind w:left="1920" w:hanging="480"/>
      </w:pPr>
    </w:lvl>
    <w:lvl w:ilvl="4" w:tplc="4D38E290" w:tentative="1">
      <w:start w:val="1"/>
      <w:numFmt w:val="ideographTraditional"/>
      <w:lvlText w:val="%5、"/>
      <w:lvlJc w:val="left"/>
      <w:pPr>
        <w:tabs>
          <w:tab w:val="num" w:pos="2400"/>
        </w:tabs>
        <w:ind w:left="2400" w:hanging="480"/>
      </w:pPr>
    </w:lvl>
    <w:lvl w:ilvl="5" w:tplc="689CAA4A" w:tentative="1">
      <w:start w:val="1"/>
      <w:numFmt w:val="lowerRoman"/>
      <w:lvlText w:val="%6."/>
      <w:lvlJc w:val="right"/>
      <w:pPr>
        <w:tabs>
          <w:tab w:val="num" w:pos="2880"/>
        </w:tabs>
        <w:ind w:left="2880" w:hanging="480"/>
      </w:pPr>
    </w:lvl>
    <w:lvl w:ilvl="6" w:tplc="7FEE44E0" w:tentative="1">
      <w:start w:val="1"/>
      <w:numFmt w:val="decimal"/>
      <w:lvlText w:val="%7."/>
      <w:lvlJc w:val="left"/>
      <w:pPr>
        <w:tabs>
          <w:tab w:val="num" w:pos="3360"/>
        </w:tabs>
        <w:ind w:left="3360" w:hanging="480"/>
      </w:pPr>
    </w:lvl>
    <w:lvl w:ilvl="7" w:tplc="92D2F336" w:tentative="1">
      <w:start w:val="1"/>
      <w:numFmt w:val="ideographTraditional"/>
      <w:lvlText w:val="%8、"/>
      <w:lvlJc w:val="left"/>
      <w:pPr>
        <w:tabs>
          <w:tab w:val="num" w:pos="3840"/>
        </w:tabs>
        <w:ind w:left="3840" w:hanging="480"/>
      </w:pPr>
    </w:lvl>
    <w:lvl w:ilvl="8" w:tplc="12941536"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7"/>
  </w:num>
  <w:num w:numId="4">
    <w:abstractNumId w:val="1"/>
  </w:num>
  <w:num w:numId="5">
    <w:abstractNumId w:val="8"/>
  </w:num>
  <w:num w:numId="6">
    <w:abstractNumId w:val="2"/>
    <w:lvlOverride w:ilvl="0">
      <w:startOverride w:val="6"/>
    </w:lvlOverride>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272001"/>
    <w:docVar w:name="DocIDAuthor" w:val="False"/>
    <w:docVar w:name="DocIDClientMatter" w:val="True"/>
    <w:docVar w:name="DocIDDate" w:val="False"/>
    <w:docVar w:name="DocIDDateText" w:val="False"/>
    <w:docVar w:name="DocIDDraft" w:val="False"/>
    <w:docVar w:name="DocIDFileName" w:val="False"/>
    <w:docVar w:name="DocIDFirstPageFooter" w:val="True"/>
    <w:docVar w:name="DocIDLibrary" w:val="True"/>
    <w:docVar w:name="DocIDLongDate" w:val="False"/>
    <w:docVar w:name="DocIDTime" w:val="False"/>
    <w:docVar w:name="DocIDType" w:val="FirstPageOnly"/>
    <w:docVar w:name="DocIDTypist" w:val="False"/>
    <w:docVar w:name="DocIDVersion" w:val="True"/>
    <w:docVar w:name="MatterNumber" w:val="00011"/>
  </w:docVars>
  <w:rsids>
    <w:rsidRoot w:val="008C6BB6"/>
    <w:rsid w:val="00010E4A"/>
    <w:rsid w:val="000135EB"/>
    <w:rsid w:val="000225C5"/>
    <w:rsid w:val="000238B4"/>
    <w:rsid w:val="00052946"/>
    <w:rsid w:val="00056CC0"/>
    <w:rsid w:val="00090DF9"/>
    <w:rsid w:val="000B2C49"/>
    <w:rsid w:val="000F75FD"/>
    <w:rsid w:val="00105D65"/>
    <w:rsid w:val="00123A19"/>
    <w:rsid w:val="00133015"/>
    <w:rsid w:val="001340CC"/>
    <w:rsid w:val="001411FE"/>
    <w:rsid w:val="00146523"/>
    <w:rsid w:val="001548E2"/>
    <w:rsid w:val="00160531"/>
    <w:rsid w:val="00161DD6"/>
    <w:rsid w:val="00163884"/>
    <w:rsid w:val="00180E2E"/>
    <w:rsid w:val="001964E7"/>
    <w:rsid w:val="001A3294"/>
    <w:rsid w:val="001B2DE4"/>
    <w:rsid w:val="001B7064"/>
    <w:rsid w:val="001C166B"/>
    <w:rsid w:val="001C630E"/>
    <w:rsid w:val="001E0519"/>
    <w:rsid w:val="001E2374"/>
    <w:rsid w:val="002020CE"/>
    <w:rsid w:val="00213A39"/>
    <w:rsid w:val="00254DC7"/>
    <w:rsid w:val="002576FB"/>
    <w:rsid w:val="00272932"/>
    <w:rsid w:val="002772D1"/>
    <w:rsid w:val="002A04D9"/>
    <w:rsid w:val="002B622E"/>
    <w:rsid w:val="002E1D78"/>
    <w:rsid w:val="002E2C43"/>
    <w:rsid w:val="002E7FA2"/>
    <w:rsid w:val="002F4005"/>
    <w:rsid w:val="0034476E"/>
    <w:rsid w:val="00347DE6"/>
    <w:rsid w:val="003708DF"/>
    <w:rsid w:val="003C2758"/>
    <w:rsid w:val="0042754A"/>
    <w:rsid w:val="00443DD4"/>
    <w:rsid w:val="004630C1"/>
    <w:rsid w:val="0047352E"/>
    <w:rsid w:val="00491BC5"/>
    <w:rsid w:val="00493BDD"/>
    <w:rsid w:val="00496E81"/>
    <w:rsid w:val="004A0668"/>
    <w:rsid w:val="004A5118"/>
    <w:rsid w:val="004C2744"/>
    <w:rsid w:val="004E29A3"/>
    <w:rsid w:val="004F2553"/>
    <w:rsid w:val="00501656"/>
    <w:rsid w:val="00504826"/>
    <w:rsid w:val="00504C3D"/>
    <w:rsid w:val="00520F90"/>
    <w:rsid w:val="005210BB"/>
    <w:rsid w:val="00533EE0"/>
    <w:rsid w:val="0053667A"/>
    <w:rsid w:val="00546C2F"/>
    <w:rsid w:val="00577768"/>
    <w:rsid w:val="00590905"/>
    <w:rsid w:val="005B1093"/>
    <w:rsid w:val="005B1487"/>
    <w:rsid w:val="005C0DA6"/>
    <w:rsid w:val="005E443A"/>
    <w:rsid w:val="00636E7A"/>
    <w:rsid w:val="00636FA6"/>
    <w:rsid w:val="00666AAD"/>
    <w:rsid w:val="00670705"/>
    <w:rsid w:val="0068653A"/>
    <w:rsid w:val="00695E59"/>
    <w:rsid w:val="006F18E6"/>
    <w:rsid w:val="0071367B"/>
    <w:rsid w:val="00731D4D"/>
    <w:rsid w:val="007340E1"/>
    <w:rsid w:val="00744EB8"/>
    <w:rsid w:val="007466B5"/>
    <w:rsid w:val="00752799"/>
    <w:rsid w:val="00757E2E"/>
    <w:rsid w:val="0077491D"/>
    <w:rsid w:val="007948A9"/>
    <w:rsid w:val="007A6E5D"/>
    <w:rsid w:val="007B0ED5"/>
    <w:rsid w:val="007C63D7"/>
    <w:rsid w:val="007D217C"/>
    <w:rsid w:val="007D2A13"/>
    <w:rsid w:val="007F38A8"/>
    <w:rsid w:val="00814ED5"/>
    <w:rsid w:val="00821466"/>
    <w:rsid w:val="00833687"/>
    <w:rsid w:val="00843467"/>
    <w:rsid w:val="008630CB"/>
    <w:rsid w:val="008C6BB6"/>
    <w:rsid w:val="008F3693"/>
    <w:rsid w:val="008F76A1"/>
    <w:rsid w:val="00911133"/>
    <w:rsid w:val="00973ADB"/>
    <w:rsid w:val="00981665"/>
    <w:rsid w:val="009927AF"/>
    <w:rsid w:val="0099285C"/>
    <w:rsid w:val="00994F8D"/>
    <w:rsid w:val="00995666"/>
    <w:rsid w:val="009A3BBD"/>
    <w:rsid w:val="009A3CAA"/>
    <w:rsid w:val="009A66B1"/>
    <w:rsid w:val="009C2E9C"/>
    <w:rsid w:val="009C3F92"/>
    <w:rsid w:val="009F45A9"/>
    <w:rsid w:val="00A27451"/>
    <w:rsid w:val="00A654EE"/>
    <w:rsid w:val="00A70C1B"/>
    <w:rsid w:val="00A7288F"/>
    <w:rsid w:val="00A77241"/>
    <w:rsid w:val="00A81843"/>
    <w:rsid w:val="00A83854"/>
    <w:rsid w:val="00A907BD"/>
    <w:rsid w:val="00A92074"/>
    <w:rsid w:val="00AA6724"/>
    <w:rsid w:val="00AC14E5"/>
    <w:rsid w:val="00AD2926"/>
    <w:rsid w:val="00AE2F10"/>
    <w:rsid w:val="00AF78E2"/>
    <w:rsid w:val="00B01040"/>
    <w:rsid w:val="00B01D92"/>
    <w:rsid w:val="00B03283"/>
    <w:rsid w:val="00B13332"/>
    <w:rsid w:val="00B13B6E"/>
    <w:rsid w:val="00B25192"/>
    <w:rsid w:val="00B25995"/>
    <w:rsid w:val="00B30431"/>
    <w:rsid w:val="00BA0A44"/>
    <w:rsid w:val="00BA3841"/>
    <w:rsid w:val="00BA611B"/>
    <w:rsid w:val="00BC080D"/>
    <w:rsid w:val="00BC3137"/>
    <w:rsid w:val="00BE02D7"/>
    <w:rsid w:val="00BF41AE"/>
    <w:rsid w:val="00C34B7E"/>
    <w:rsid w:val="00C36D75"/>
    <w:rsid w:val="00C428E6"/>
    <w:rsid w:val="00C53674"/>
    <w:rsid w:val="00C61734"/>
    <w:rsid w:val="00C6445B"/>
    <w:rsid w:val="00C6471D"/>
    <w:rsid w:val="00CA76D2"/>
    <w:rsid w:val="00CD156F"/>
    <w:rsid w:val="00D163C0"/>
    <w:rsid w:val="00D22AA3"/>
    <w:rsid w:val="00D37033"/>
    <w:rsid w:val="00D53CEB"/>
    <w:rsid w:val="00D540A1"/>
    <w:rsid w:val="00D574D6"/>
    <w:rsid w:val="00D75384"/>
    <w:rsid w:val="00D81139"/>
    <w:rsid w:val="00D8409D"/>
    <w:rsid w:val="00D9453B"/>
    <w:rsid w:val="00DB526C"/>
    <w:rsid w:val="00DB7B85"/>
    <w:rsid w:val="00DD5AE8"/>
    <w:rsid w:val="00DD6238"/>
    <w:rsid w:val="00DD6FAD"/>
    <w:rsid w:val="00E12414"/>
    <w:rsid w:val="00E17EB7"/>
    <w:rsid w:val="00E57D8B"/>
    <w:rsid w:val="00E62B53"/>
    <w:rsid w:val="00E71E92"/>
    <w:rsid w:val="00E9330C"/>
    <w:rsid w:val="00EA5484"/>
    <w:rsid w:val="00EA6DA2"/>
    <w:rsid w:val="00EB5874"/>
    <w:rsid w:val="00EC0004"/>
    <w:rsid w:val="00F0154A"/>
    <w:rsid w:val="00F400C3"/>
    <w:rsid w:val="00F473C6"/>
    <w:rsid w:val="00F72DEC"/>
    <w:rsid w:val="00F73E28"/>
    <w:rsid w:val="00F80741"/>
    <w:rsid w:val="00F8512B"/>
    <w:rsid w:val="00F8618D"/>
    <w:rsid w:val="00F872D9"/>
    <w:rsid w:val="00FA009A"/>
    <w:rsid w:val="00FB236F"/>
    <w:rsid w:val="00FB384E"/>
    <w:rsid w:val="00FD2644"/>
    <w:rsid w:val="00FE44D0"/>
    <w:rsid w:val="00FF3DE8"/>
    <w:rsid w:val="00FF4AB7"/>
    <w:rsid w:val="00FF7C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8165C6"/>
  <w15:docId w15:val="{807EFBF2-9623-4A30-A850-23702F45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val="en-US" w:eastAsia="zh-TW"/>
    </w:rPr>
  </w:style>
  <w:style w:type="paragraph" w:styleId="Heading1">
    <w:name w:val="heading 1"/>
    <w:basedOn w:val="Normal"/>
    <w:next w:val="Normal"/>
    <w:qFormat/>
    <w:pPr>
      <w:keepNext/>
      <w:ind w:left="3600"/>
      <w:jc w:val="center"/>
      <w:outlineLvl w:val="0"/>
    </w:pPr>
    <w:rPr>
      <w:b/>
    </w:rPr>
  </w:style>
  <w:style w:type="paragraph" w:styleId="Heading2">
    <w:name w:val="heading 2"/>
    <w:basedOn w:val="Normal"/>
    <w:next w:val="NormalIndent"/>
    <w:qFormat/>
    <w:pPr>
      <w:keepNext/>
      <w:ind w:left="3600"/>
      <w:jc w:val="center"/>
      <w:outlineLvl w:val="1"/>
    </w:pPr>
    <w:rPr>
      <w:i/>
    </w:rPr>
  </w:style>
  <w:style w:type="paragraph" w:styleId="Heading3">
    <w:name w:val="heading 3"/>
    <w:basedOn w:val="Normal"/>
    <w:next w:val="NormalIndent"/>
    <w:qFormat/>
    <w:pPr>
      <w:keepNext/>
      <w:ind w:left="4320"/>
      <w:jc w:val="center"/>
      <w:outlineLvl w:val="2"/>
    </w:pPr>
    <w:rPr>
      <w:b/>
    </w:rPr>
  </w:style>
  <w:style w:type="paragraph" w:styleId="Heading4">
    <w:name w:val="heading 4"/>
    <w:basedOn w:val="Normal"/>
    <w:next w:val="NormalIndent"/>
    <w:qFormat/>
    <w:pPr>
      <w:keepNext/>
      <w:ind w:left="4320"/>
      <w:jc w:val="center"/>
      <w:outlineLvl w:val="3"/>
    </w:pPr>
    <w:rPr>
      <w:i/>
    </w:rPr>
  </w:style>
  <w:style w:type="paragraph" w:styleId="Heading5">
    <w:name w:val="heading 5"/>
    <w:basedOn w:val="Normal"/>
    <w:next w:val="NormalIndent"/>
    <w:qFormat/>
    <w:pPr>
      <w:keepNext/>
      <w:tabs>
        <w:tab w:val="left" w:pos="720"/>
      </w:tabs>
      <w:outlineLvl w:val="4"/>
    </w:pPr>
    <w:rPr>
      <w:b/>
    </w:rPr>
  </w:style>
  <w:style w:type="paragraph" w:styleId="Heading6">
    <w:name w:val="heading 6"/>
    <w:basedOn w:val="Normal"/>
    <w:next w:val="NormalIndent"/>
    <w:qFormat/>
    <w:pPr>
      <w:keepNext/>
      <w:tabs>
        <w:tab w:val="left" w:pos="720"/>
      </w:tabs>
      <w:jc w:val="both"/>
      <w:outlineLvl w:val="5"/>
    </w:pPr>
    <w:rPr>
      <w:b/>
    </w:rPr>
  </w:style>
  <w:style w:type="paragraph" w:styleId="Heading7">
    <w:name w:val="heading 7"/>
    <w:basedOn w:val="Normal"/>
    <w:next w:val="NormalIndent"/>
    <w:qFormat/>
    <w:pPr>
      <w:keepNext/>
      <w:jc w:val="center"/>
      <w:outlineLvl w:val="6"/>
    </w:pPr>
    <w:rPr>
      <w:b/>
    </w:rPr>
  </w:style>
  <w:style w:type="paragraph" w:styleId="Heading8">
    <w:name w:val="heading 8"/>
    <w:basedOn w:val="Normal"/>
    <w:next w:val="NormalIndent"/>
    <w:qFormat/>
    <w:pPr>
      <w:keepNext/>
      <w:jc w:val="center"/>
      <w:outlineLvl w:val="7"/>
    </w:pPr>
    <w:rPr>
      <w:b/>
      <w:sz w:val="32"/>
    </w:rPr>
  </w:style>
  <w:style w:type="paragraph" w:styleId="Heading9">
    <w:name w:val="heading 9"/>
    <w:basedOn w:val="Normal"/>
    <w:next w:val="Normal"/>
    <w:qFormat/>
    <w:pPr>
      <w:keepNext/>
      <w:jc w:val="righ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BodyText2">
    <w:name w:val="Body Text 2"/>
    <w:basedOn w:val="Normal"/>
    <w:pPr>
      <w:jc w:val="both"/>
    </w:pPr>
    <w:rPr>
      <w:i/>
    </w:rPr>
  </w:style>
  <w:style w:type="paragraph" w:styleId="BodyText3">
    <w:name w:val="Body Text 3"/>
    <w:basedOn w:val="Normal"/>
    <w:pPr>
      <w:jc w:val="both"/>
    </w:pPr>
  </w:style>
  <w:style w:type="paragraph" w:styleId="NormalIndent">
    <w:name w:val="Normal Indent"/>
    <w:basedOn w:val="Normal"/>
    <w:pPr>
      <w:ind w:left="480"/>
    </w:pPr>
  </w:style>
  <w:style w:type="paragraph" w:styleId="BodyTextIndent">
    <w:name w:val="Body Text Indent"/>
    <w:basedOn w:val="Normal"/>
    <w:pPr>
      <w:tabs>
        <w:tab w:val="left" w:pos="720"/>
      </w:tabs>
      <w:ind w:left="720" w:hanging="720"/>
      <w:jc w:val="both"/>
    </w:pPr>
    <w:rPr>
      <w:sz w:val="20"/>
    </w:rPr>
  </w:style>
  <w:style w:type="paragraph" w:styleId="Header">
    <w:name w:val="header"/>
    <w:basedOn w:val="Normal"/>
    <w:pPr>
      <w:tabs>
        <w:tab w:val="center" w:pos="4153"/>
        <w:tab w:val="right" w:pos="8306"/>
      </w:tabs>
      <w:snapToGrid w:val="0"/>
    </w:pPr>
    <w:rPr>
      <w:sz w:val="20"/>
    </w:rPr>
  </w:style>
  <w:style w:type="paragraph" w:styleId="Footer">
    <w:name w:val="footer"/>
    <w:basedOn w:val="Normal"/>
    <w:link w:val="FooterChar"/>
    <w:uiPriority w:val="99"/>
    <w:pPr>
      <w:tabs>
        <w:tab w:val="center" w:pos="4153"/>
        <w:tab w:val="right" w:pos="8306"/>
      </w:tabs>
      <w:snapToGrid w:val="0"/>
    </w:pPr>
    <w:rPr>
      <w:sz w:val="20"/>
    </w:rPr>
  </w:style>
  <w:style w:type="character" w:styleId="PageNumber">
    <w:name w:val="page number"/>
    <w:basedOn w:val="DefaultParagraphFont"/>
  </w:style>
  <w:style w:type="paragraph" w:styleId="BalloonText">
    <w:name w:val="Balloon Text"/>
    <w:basedOn w:val="Normal"/>
    <w:semiHidden/>
    <w:rPr>
      <w:rFonts w:ascii="Arial" w:hAnsi="Arial"/>
      <w:sz w:val="18"/>
      <w:szCs w:val="18"/>
    </w:rPr>
  </w:style>
  <w:style w:type="paragraph" w:customStyle="1" w:styleId="BalloonText1">
    <w:name w:val="Balloon Text1"/>
    <w:basedOn w:val="Normal"/>
    <w:semiHidden/>
    <w:rPr>
      <w:rFonts w:ascii="Arial" w:hAnsi="Arial"/>
      <w:sz w:val="16"/>
      <w:szCs w:val="16"/>
    </w:rPr>
  </w:style>
  <w:style w:type="character" w:customStyle="1" w:styleId="FooterChar">
    <w:name w:val="Footer Char"/>
    <w:link w:val="Footer"/>
    <w:uiPriority w:val="99"/>
    <w:rsid w:val="000C74D6"/>
    <w:rPr>
      <w:kern w:val="2"/>
    </w:rPr>
  </w:style>
  <w:style w:type="character" w:customStyle="1" w:styleId="DocID">
    <w:name w:val="DocID"/>
    <w:basedOn w:val="DefaultParagraphFont"/>
    <w:rsid w:val="00E92D8F"/>
    <w:rPr>
      <w:rFonts w:ascii="Arial" w:hAnsi="Arial" w:cs="Arial"/>
      <w:b w:val="0"/>
      <w:i w:val="0"/>
      <w:caps w:val="0"/>
      <w:vanish w:val="0"/>
      <w:color w:val="000000"/>
      <w:sz w:val="12"/>
      <w:u w:val="none"/>
      <w:lang w:val="en-GB"/>
    </w:rPr>
  </w:style>
  <w:style w:type="character" w:customStyle="1" w:styleId="BodyTextChar">
    <w:name w:val="Body Text Char"/>
    <w:basedOn w:val="DefaultParagraphFont"/>
    <w:link w:val="BodyText"/>
    <w:rsid w:val="00D22AA3"/>
    <w:rPr>
      <w:b/>
      <w:kern w:val="2"/>
      <w:sz w:val="24"/>
      <w:lang w:val="en-US" w:eastAsia="zh-TW"/>
    </w:rPr>
  </w:style>
  <w:style w:type="character" w:styleId="CommentReference">
    <w:name w:val="annotation reference"/>
    <w:basedOn w:val="DefaultParagraphFont"/>
    <w:semiHidden/>
    <w:unhideWhenUsed/>
    <w:rsid w:val="00833687"/>
    <w:rPr>
      <w:sz w:val="16"/>
      <w:szCs w:val="16"/>
    </w:rPr>
  </w:style>
  <w:style w:type="paragraph" w:styleId="CommentText">
    <w:name w:val="annotation text"/>
    <w:basedOn w:val="Normal"/>
    <w:link w:val="CommentTextChar"/>
    <w:semiHidden/>
    <w:unhideWhenUsed/>
    <w:rsid w:val="00833687"/>
    <w:rPr>
      <w:sz w:val="20"/>
    </w:rPr>
  </w:style>
  <w:style w:type="character" w:customStyle="1" w:styleId="CommentTextChar">
    <w:name w:val="Comment Text Char"/>
    <w:basedOn w:val="DefaultParagraphFont"/>
    <w:link w:val="CommentText"/>
    <w:semiHidden/>
    <w:rsid w:val="00833687"/>
    <w:rPr>
      <w:kern w:val="2"/>
      <w:lang w:val="en-US" w:eastAsia="zh-TW"/>
    </w:rPr>
  </w:style>
  <w:style w:type="paragraph" w:styleId="CommentSubject">
    <w:name w:val="annotation subject"/>
    <w:basedOn w:val="CommentText"/>
    <w:next w:val="CommentText"/>
    <w:link w:val="CommentSubjectChar"/>
    <w:semiHidden/>
    <w:unhideWhenUsed/>
    <w:rsid w:val="00833687"/>
    <w:rPr>
      <w:b/>
      <w:bCs/>
    </w:rPr>
  </w:style>
  <w:style w:type="character" w:customStyle="1" w:styleId="CommentSubjectChar">
    <w:name w:val="Comment Subject Char"/>
    <w:basedOn w:val="CommentTextChar"/>
    <w:link w:val="CommentSubject"/>
    <w:semiHidden/>
    <w:rsid w:val="00833687"/>
    <w:rPr>
      <w:b/>
      <w:bCs/>
      <w:kern w:val="2"/>
      <w:lang w:val="en-US" w:eastAsia="zh-TW"/>
    </w:rPr>
  </w:style>
  <w:style w:type="paragraph" w:styleId="ListParagraph">
    <w:name w:val="List Paragraph"/>
    <w:basedOn w:val="Normal"/>
    <w:uiPriority w:val="34"/>
    <w:qFormat/>
    <w:rsid w:val="00BF4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9459">
      <w:bodyDiv w:val="1"/>
      <w:marLeft w:val="0"/>
      <w:marRight w:val="0"/>
      <w:marTop w:val="0"/>
      <w:marBottom w:val="0"/>
      <w:divBdr>
        <w:top w:val="none" w:sz="0" w:space="0" w:color="auto"/>
        <w:left w:val="none" w:sz="0" w:space="0" w:color="auto"/>
        <w:bottom w:val="none" w:sz="0" w:space="0" w:color="auto"/>
        <w:right w:val="none" w:sz="0" w:space="0" w:color="auto"/>
      </w:divBdr>
    </w:div>
    <w:div w:id="6157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561A-E98B-4637-AA05-3637A2BB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2</Pages>
  <Words>718</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 Ching Hung Joanna</dc:creator>
  <cp:lastModifiedBy>Karry Ng</cp:lastModifiedBy>
  <cp:revision>55</cp:revision>
  <cp:lastPrinted>2022-06-29T09:40:00Z</cp:lastPrinted>
  <dcterms:created xsi:type="dcterms:W3CDTF">2021-09-27T09:43:00Z</dcterms:created>
  <dcterms:modified xsi:type="dcterms:W3CDTF">2022-06-30T10:25:00Z</dcterms:modified>
</cp:coreProperties>
</file>