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left"/>
        <w:rPr>
          <w:rFonts w:ascii="新宋体" w:hAnsi="新宋体" w:eastAsia="新宋体"/>
          <w:b/>
          <w:bCs/>
          <w:i/>
          <w:iCs/>
          <w:kern w:val="0"/>
          <w:sz w:val="28"/>
          <w:szCs w:val="28"/>
        </w:rPr>
      </w:pPr>
      <w:r>
        <w:rPr>
          <w:rFonts w:hint="eastAsia" w:ascii="宋体" w:hAnsi="宋体" w:cs="新宋体"/>
          <w:b/>
          <w:bCs/>
          <w:i/>
          <w:iCs/>
          <w:kern w:val="0"/>
          <w:sz w:val="28"/>
          <w:szCs w:val="28"/>
        </w:rPr>
        <w:t>香港交易及結算所有限公司及香港聯合交易所有限公司對本公告的內容概不負責，對其準確性或完整性亦不發表任何聲明，並明確表示，概不就因本公告全部或任何部份內容而產生或因倚賴該等內容而引致的任何損失承擔任何責任。</w:t>
      </w:r>
    </w:p>
    <w:p>
      <w:pPr>
        <w:autoSpaceDE w:val="0"/>
        <w:autoSpaceDN w:val="0"/>
        <w:adjustRightInd w:val="0"/>
        <w:spacing w:line="360" w:lineRule="auto"/>
        <w:jc w:val="center"/>
        <w:rPr>
          <w:rFonts w:hint="eastAsia" w:ascii="新宋体" w:hAnsi="新宋体" w:eastAsia="新宋体"/>
          <w:kern w:val="0"/>
          <w:sz w:val="28"/>
          <w:szCs w:val="28"/>
        </w:rPr>
      </w:pPr>
      <w:r>
        <w:drawing>
          <wp:inline distT="0" distB="0" distL="0" distR="0">
            <wp:extent cx="3429000" cy="647700"/>
            <wp:effectExtent l="0" t="0" r="0" b="0"/>
            <wp:docPr id="1" name="图片 1" descr="C:\Users\User\AppData\Local\Temp\ksohtml10336\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User\AppData\Local\Temp\ksohtml10336\wps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429000" cy="647700"/>
                    </a:xfrm>
                    <a:prstGeom prst="rect">
                      <a:avLst/>
                    </a:prstGeom>
                    <a:noFill/>
                    <a:ln>
                      <a:noFill/>
                    </a:ln>
                  </pic:spPr>
                </pic:pic>
              </a:graphicData>
            </a:graphic>
          </wp:inline>
        </w:drawing>
      </w:r>
      <w:r>
        <w:rPr>
          <w:rFonts w:hint="eastAsia" w:ascii="新宋体" w:hAnsi="新宋体" w:eastAsia="新宋体"/>
          <w:kern w:val="0"/>
          <w:sz w:val="28"/>
          <w:szCs w:val="28"/>
        </w:rPr>
        <w:t xml:space="preserve"> </w:t>
      </w:r>
    </w:p>
    <w:p>
      <w:pPr>
        <w:widowControl/>
        <w:spacing w:line="360" w:lineRule="auto"/>
        <w:jc w:val="center"/>
        <w:rPr>
          <w:rFonts w:hint="eastAsia" w:ascii="新宋体" w:hAnsi="新宋体" w:eastAsia="新宋体"/>
          <w:kern w:val="0"/>
          <w:sz w:val="28"/>
          <w:szCs w:val="28"/>
        </w:rPr>
      </w:pPr>
      <w:r>
        <w:rPr>
          <w:rFonts w:hint="eastAsia" w:ascii="新宋体" w:hAnsi="新宋体" w:eastAsia="新宋体" w:cs="新宋体"/>
          <w:b/>
          <w:bCs/>
          <w:color w:val="231F20"/>
          <w:kern w:val="0"/>
          <w:sz w:val="28"/>
          <w:szCs w:val="28"/>
        </w:rPr>
        <w:t>China Haisheng Juice Holdings Co., Ltd.</w:t>
      </w:r>
    </w:p>
    <w:p>
      <w:pPr>
        <w:widowControl/>
        <w:spacing w:line="360" w:lineRule="auto"/>
        <w:jc w:val="center"/>
        <w:rPr>
          <w:rFonts w:hint="eastAsia" w:ascii="新宋体" w:hAnsi="新宋体" w:eastAsia="新宋体"/>
          <w:b/>
          <w:bCs/>
          <w:color w:val="231F20"/>
          <w:kern w:val="0"/>
          <w:sz w:val="28"/>
          <w:szCs w:val="28"/>
        </w:rPr>
      </w:pPr>
      <w:r>
        <w:rPr>
          <w:rFonts w:hint="eastAsia" w:ascii="宋体" w:hAnsi="宋体" w:cs="新宋体"/>
          <w:b/>
          <w:bCs/>
          <w:color w:val="231F20"/>
          <w:kern w:val="0"/>
          <w:sz w:val="28"/>
          <w:szCs w:val="28"/>
        </w:rPr>
        <w:t>中國海升果汁控股有限公司</w:t>
      </w:r>
    </w:p>
    <w:p>
      <w:pPr>
        <w:widowControl/>
        <w:spacing w:line="360" w:lineRule="auto"/>
        <w:jc w:val="center"/>
        <w:rPr>
          <w:rFonts w:hint="eastAsia" w:ascii="新宋体" w:hAnsi="新宋体" w:eastAsia="新宋体"/>
          <w:i/>
          <w:iCs/>
          <w:color w:val="231F20"/>
          <w:kern w:val="0"/>
          <w:sz w:val="28"/>
          <w:szCs w:val="28"/>
        </w:rPr>
      </w:pPr>
      <w:r>
        <w:rPr>
          <w:rFonts w:hint="eastAsia" w:ascii="宋体" w:hAnsi="宋体" w:cs="新宋体"/>
          <w:i/>
          <w:iCs/>
          <w:color w:val="231F20"/>
          <w:kern w:val="0"/>
          <w:sz w:val="28"/>
          <w:szCs w:val="28"/>
        </w:rPr>
        <w:t>（於開曼群島註冊成立的有限公司）</w:t>
      </w:r>
    </w:p>
    <w:p>
      <w:pPr>
        <w:autoSpaceDE w:val="0"/>
        <w:autoSpaceDN w:val="0"/>
        <w:adjustRightInd w:val="0"/>
        <w:spacing w:line="360" w:lineRule="auto"/>
        <w:jc w:val="center"/>
        <w:rPr>
          <w:rFonts w:hint="eastAsia" w:ascii="新宋体" w:hAnsi="新宋体" w:eastAsia="新宋体"/>
          <w:b/>
          <w:bCs/>
          <w:color w:val="231F20"/>
          <w:kern w:val="0"/>
          <w:sz w:val="28"/>
          <w:szCs w:val="28"/>
        </w:rPr>
      </w:pPr>
      <w:r>
        <w:rPr>
          <w:rFonts w:hint="eastAsia" w:ascii="宋体" w:hAnsi="宋体" w:cs="新宋体"/>
          <w:b/>
          <w:bCs/>
          <w:color w:val="231F20"/>
          <w:kern w:val="0"/>
          <w:sz w:val="28"/>
          <w:szCs w:val="28"/>
        </w:rPr>
        <w:t>（股份代號：</w:t>
      </w:r>
      <w:r>
        <w:rPr>
          <w:rFonts w:hint="eastAsia" w:ascii="新宋体" w:hAnsi="新宋体" w:eastAsia="新宋体" w:cs="新宋体"/>
          <w:b/>
          <w:bCs/>
          <w:color w:val="231F20"/>
          <w:kern w:val="0"/>
          <w:sz w:val="28"/>
          <w:szCs w:val="28"/>
        </w:rPr>
        <w:t>0359</w:t>
      </w:r>
      <w:r>
        <w:rPr>
          <w:rFonts w:hint="eastAsia" w:ascii="宋体" w:hAnsi="宋体" w:cs="新宋体"/>
          <w:b/>
          <w:bCs/>
          <w:color w:val="231F20"/>
          <w:kern w:val="0"/>
          <w:sz w:val="28"/>
          <w:szCs w:val="28"/>
        </w:rPr>
        <w:t>）</w:t>
      </w:r>
    </w:p>
    <w:p>
      <w:pPr>
        <w:spacing w:line="360" w:lineRule="auto"/>
        <w:jc w:val="left"/>
        <w:rPr>
          <w:rFonts w:hint="eastAsia" w:ascii="新宋体" w:hAnsi="新宋体" w:eastAsia="新宋体"/>
          <w:color w:val="000000"/>
          <w:sz w:val="28"/>
          <w:szCs w:val="28"/>
        </w:rPr>
      </w:pPr>
      <w:r>
        <w:rPr>
          <w:rFonts w:hint="eastAsia" w:ascii="新宋体" w:hAnsi="新宋体" w:eastAsia="新宋体"/>
          <w:color w:val="000000"/>
          <w:sz w:val="28"/>
          <w:szCs w:val="28"/>
        </w:rPr>
        <w:t xml:space="preserve"> </w:t>
      </w:r>
    </w:p>
    <w:p>
      <w:pPr>
        <w:widowControl/>
        <w:spacing w:line="360" w:lineRule="auto"/>
        <w:jc w:val="center"/>
        <w:rPr>
          <w:rFonts w:hint="eastAsia" w:ascii="新宋体" w:hAnsi="新宋体" w:eastAsia="新宋体"/>
          <w:b/>
          <w:bCs/>
          <w:kern w:val="0"/>
          <w:sz w:val="28"/>
          <w:szCs w:val="28"/>
        </w:rPr>
      </w:pPr>
      <w:r>
        <w:rPr>
          <w:rFonts w:hint="eastAsia" w:ascii="新宋体" w:hAnsi="新宋体" w:cs="新宋体"/>
          <w:color w:val="000000"/>
          <w:sz w:val="28"/>
          <w:szCs w:val="28"/>
        </w:rPr>
        <w:t xml:space="preserve"> </w:t>
      </w:r>
      <w:r>
        <w:rPr>
          <w:rFonts w:hint="eastAsia" w:ascii="宋体" w:hAnsi="宋体" w:cs="新宋体"/>
          <w:b/>
          <w:color w:val="221E1F"/>
          <w:sz w:val="28"/>
          <w:szCs w:val="28"/>
        </w:rPr>
        <w:t>內幕消息</w:t>
      </w:r>
    </w:p>
    <w:p>
      <w:pPr>
        <w:numPr>
          <w:ilvl w:val="0"/>
          <w:numId w:val="1"/>
        </w:numPr>
        <w:autoSpaceDE w:val="0"/>
        <w:autoSpaceDN w:val="0"/>
        <w:adjustRightInd w:val="0"/>
        <w:spacing w:line="360" w:lineRule="auto"/>
        <w:jc w:val="center"/>
        <w:rPr>
          <w:rFonts w:hint="eastAsia" w:ascii="新宋体" w:hAnsi="新宋体" w:eastAsia="新宋体"/>
          <w:b/>
          <w:bCs/>
          <w:kern w:val="0"/>
          <w:sz w:val="28"/>
          <w:szCs w:val="28"/>
        </w:rPr>
      </w:pPr>
      <w:r>
        <w:rPr>
          <w:rFonts w:hint="eastAsia" w:ascii="宋体" w:hAnsi="宋体" w:cs="新宋体"/>
          <w:b/>
          <w:bCs/>
          <w:kern w:val="0"/>
          <w:sz w:val="28"/>
          <w:szCs w:val="28"/>
        </w:rPr>
        <w:t>關於公司破產重整最新進展公告；</w:t>
      </w:r>
    </w:p>
    <w:p>
      <w:pPr>
        <w:numPr>
          <w:ilvl w:val="0"/>
          <w:numId w:val="1"/>
        </w:numPr>
        <w:autoSpaceDE w:val="0"/>
        <w:autoSpaceDN w:val="0"/>
        <w:adjustRightInd w:val="0"/>
        <w:spacing w:line="360" w:lineRule="auto"/>
        <w:jc w:val="center"/>
        <w:rPr>
          <w:rFonts w:hint="eastAsia" w:ascii="新宋体" w:hAnsi="新宋体" w:eastAsia="新宋体"/>
          <w:b/>
          <w:bCs/>
          <w:kern w:val="0"/>
          <w:sz w:val="28"/>
          <w:szCs w:val="28"/>
        </w:rPr>
      </w:pPr>
      <w:r>
        <w:rPr>
          <w:rFonts w:hint="eastAsia" w:ascii="宋体" w:hAnsi="宋体" w:cs="新宋体"/>
          <w:b/>
          <w:bCs/>
          <w:sz w:val="28"/>
          <w:szCs w:val="28"/>
        </w:rPr>
        <w:t>關於公司生產、經營情況的最新公告</w:t>
      </w:r>
      <w:r>
        <w:rPr>
          <w:rFonts w:hint="eastAsia" w:ascii="宋体" w:hAnsi="宋体" w:cs="新宋体"/>
          <w:b/>
          <w:bCs/>
          <w:kern w:val="0"/>
          <w:sz w:val="28"/>
          <w:szCs w:val="28"/>
        </w:rPr>
        <w:t>；及</w:t>
      </w:r>
    </w:p>
    <w:p>
      <w:pPr>
        <w:numPr>
          <w:ilvl w:val="0"/>
          <w:numId w:val="1"/>
        </w:numPr>
        <w:autoSpaceDE w:val="0"/>
        <w:autoSpaceDN w:val="0"/>
        <w:adjustRightInd w:val="0"/>
        <w:spacing w:line="360" w:lineRule="auto"/>
        <w:jc w:val="center"/>
        <w:rPr>
          <w:rFonts w:hint="eastAsia" w:ascii="新宋体" w:hAnsi="新宋体" w:eastAsia="新宋体"/>
          <w:b/>
          <w:bCs/>
          <w:kern w:val="0"/>
          <w:sz w:val="28"/>
          <w:szCs w:val="28"/>
        </w:rPr>
      </w:pPr>
      <w:r>
        <w:rPr>
          <w:rFonts w:hint="eastAsia" w:ascii="宋体" w:hAnsi="宋体" w:cs="新宋体"/>
          <w:b/>
          <w:bCs/>
          <w:kern w:val="0"/>
          <w:sz w:val="28"/>
          <w:szCs w:val="28"/>
        </w:rPr>
        <w:t>繼續停牌公告</w:t>
      </w:r>
    </w:p>
    <w:p>
      <w:pPr>
        <w:spacing w:line="360" w:lineRule="auto"/>
        <w:jc w:val="left"/>
        <w:rPr>
          <w:rFonts w:hint="eastAsia" w:ascii="新宋体" w:hAnsi="新宋体" w:eastAsia="新宋体"/>
          <w:color w:val="000000"/>
          <w:sz w:val="28"/>
          <w:szCs w:val="28"/>
        </w:rPr>
      </w:pPr>
      <w:r>
        <w:rPr>
          <w:rFonts w:hint="eastAsia" w:ascii="新宋体" w:hAnsi="新宋体" w:eastAsia="新宋体"/>
          <w:color w:val="000000"/>
          <w:sz w:val="28"/>
          <w:szCs w:val="28"/>
        </w:rPr>
        <w:t xml:space="preserve"> </w:t>
      </w:r>
    </w:p>
    <w:p>
      <w:pPr>
        <w:spacing w:line="360" w:lineRule="auto"/>
        <w:jc w:val="left"/>
        <w:rPr>
          <w:rFonts w:hint="eastAsia" w:ascii="新宋体" w:hAnsi="新宋体" w:eastAsia="新宋体"/>
          <w:color w:val="000000"/>
          <w:sz w:val="28"/>
          <w:szCs w:val="28"/>
        </w:rPr>
      </w:pPr>
    </w:p>
    <w:p>
      <w:pPr>
        <w:autoSpaceDE w:val="0"/>
        <w:autoSpaceDN w:val="0"/>
        <w:adjustRightInd w:val="0"/>
        <w:spacing w:line="360" w:lineRule="auto"/>
        <w:ind w:firstLine="560" w:firstLineChars="200"/>
        <w:jc w:val="left"/>
        <w:rPr>
          <w:rFonts w:hint="eastAsia" w:ascii="新宋体" w:hAnsi="新宋体" w:eastAsia="新宋体"/>
          <w:kern w:val="0"/>
          <w:sz w:val="28"/>
          <w:szCs w:val="28"/>
        </w:rPr>
      </w:pPr>
      <w:r>
        <w:rPr>
          <w:rFonts w:hint="eastAsia" w:ascii="宋体" w:hAnsi="宋体" w:cs="新宋体"/>
          <w:kern w:val="0"/>
          <w:sz w:val="28"/>
          <w:szCs w:val="28"/>
        </w:rPr>
        <w:t>本公告由中國海升果汁控股有限公司（「</w:t>
      </w:r>
      <w:r>
        <w:rPr>
          <w:rFonts w:hint="eastAsia" w:ascii="宋体" w:hAnsi="宋体" w:cs="新宋体"/>
          <w:b/>
          <w:bCs/>
          <w:kern w:val="0"/>
          <w:sz w:val="28"/>
          <w:szCs w:val="28"/>
        </w:rPr>
        <w:t>本公司</w:t>
      </w:r>
      <w:r>
        <w:rPr>
          <w:rFonts w:hint="eastAsia" w:ascii="宋体" w:hAnsi="宋体" w:cs="新宋体"/>
          <w:kern w:val="0"/>
          <w:sz w:val="28"/>
          <w:szCs w:val="28"/>
        </w:rPr>
        <w:t>」，連同其附屬公司統稱為「</w:t>
      </w:r>
      <w:r>
        <w:rPr>
          <w:rFonts w:hint="eastAsia" w:ascii="宋体" w:hAnsi="宋体" w:cs="新宋体"/>
          <w:b/>
          <w:bCs/>
          <w:kern w:val="0"/>
          <w:sz w:val="28"/>
          <w:szCs w:val="28"/>
        </w:rPr>
        <w:t>本集團</w:t>
      </w:r>
      <w:r>
        <w:rPr>
          <w:rFonts w:hint="eastAsia" w:ascii="宋体" w:hAnsi="宋体" w:cs="新宋体"/>
          <w:kern w:val="0"/>
          <w:sz w:val="28"/>
          <w:szCs w:val="28"/>
        </w:rPr>
        <w:t>」）根據香港聯合交易所有限公司（「</w:t>
      </w:r>
      <w:r>
        <w:rPr>
          <w:rFonts w:hint="eastAsia" w:ascii="宋体" w:hAnsi="宋体" w:cs="新宋体"/>
          <w:b/>
          <w:bCs/>
          <w:kern w:val="0"/>
          <w:sz w:val="28"/>
          <w:szCs w:val="28"/>
        </w:rPr>
        <w:t>聯交所</w:t>
      </w:r>
      <w:r>
        <w:rPr>
          <w:rFonts w:hint="eastAsia" w:ascii="宋体" w:hAnsi="宋体" w:cs="新宋体"/>
          <w:kern w:val="0"/>
          <w:sz w:val="28"/>
          <w:szCs w:val="28"/>
        </w:rPr>
        <w:t>」）證券上市規則（「</w:t>
      </w:r>
      <w:r>
        <w:rPr>
          <w:rFonts w:hint="eastAsia" w:ascii="宋体" w:hAnsi="宋体" w:cs="新宋体"/>
          <w:b/>
          <w:bCs/>
          <w:kern w:val="0"/>
          <w:sz w:val="28"/>
          <w:szCs w:val="28"/>
        </w:rPr>
        <w:t>上市規則</w:t>
      </w:r>
      <w:r>
        <w:rPr>
          <w:rFonts w:hint="eastAsia" w:ascii="宋体" w:hAnsi="宋体" w:cs="新宋体"/>
          <w:kern w:val="0"/>
          <w:sz w:val="28"/>
          <w:szCs w:val="28"/>
        </w:rPr>
        <w:t>」）第</w:t>
      </w:r>
      <w:r>
        <w:rPr>
          <w:rFonts w:hint="eastAsia" w:ascii="新宋体" w:hAnsi="新宋体" w:eastAsia="新宋体" w:cs="新宋体"/>
          <w:kern w:val="0"/>
          <w:sz w:val="28"/>
          <w:szCs w:val="28"/>
        </w:rPr>
        <w:t>13.09</w:t>
      </w:r>
      <w:r>
        <w:rPr>
          <w:rFonts w:hint="eastAsia" w:ascii="宋体" w:hAnsi="宋体" w:cs="新宋体"/>
          <w:kern w:val="0"/>
          <w:sz w:val="28"/>
          <w:szCs w:val="28"/>
        </w:rPr>
        <w:t>條以及《證券及期貨條例》（香港法例第</w:t>
      </w:r>
      <w:r>
        <w:rPr>
          <w:rFonts w:hint="eastAsia" w:ascii="新宋体" w:hAnsi="新宋体" w:eastAsia="新宋体" w:cs="新宋体"/>
          <w:kern w:val="0"/>
          <w:sz w:val="28"/>
          <w:szCs w:val="28"/>
        </w:rPr>
        <w:t>571</w:t>
      </w:r>
      <w:r>
        <w:rPr>
          <w:rFonts w:hint="eastAsia" w:ascii="宋体" w:hAnsi="宋体" w:cs="新宋体"/>
          <w:kern w:val="0"/>
          <w:sz w:val="28"/>
          <w:szCs w:val="28"/>
        </w:rPr>
        <w:t>章）第</w:t>
      </w:r>
      <w:r>
        <w:rPr>
          <w:rFonts w:hint="eastAsia" w:ascii="新宋体" w:hAnsi="新宋体" w:eastAsia="新宋体" w:cs="新宋体"/>
          <w:kern w:val="0"/>
          <w:sz w:val="28"/>
          <w:szCs w:val="28"/>
        </w:rPr>
        <w:t>XIVA</w:t>
      </w:r>
      <w:r>
        <w:rPr>
          <w:rFonts w:hint="eastAsia" w:ascii="宋体" w:hAnsi="宋体" w:cs="新宋体"/>
          <w:kern w:val="0"/>
          <w:sz w:val="28"/>
          <w:szCs w:val="28"/>
        </w:rPr>
        <w:t>部項下的內幕消息條文（定義見上市規則）而作出。</w:t>
      </w:r>
    </w:p>
    <w:p>
      <w:pPr>
        <w:autoSpaceDE w:val="0"/>
        <w:autoSpaceDN w:val="0"/>
        <w:adjustRightInd w:val="0"/>
        <w:spacing w:line="360" w:lineRule="auto"/>
        <w:ind w:firstLine="562" w:firstLineChars="200"/>
        <w:jc w:val="left"/>
        <w:rPr>
          <w:rFonts w:hint="eastAsia" w:ascii="新宋体" w:hAnsi="新宋体" w:eastAsia="新宋体"/>
          <w:b/>
          <w:bCs/>
          <w:kern w:val="0"/>
          <w:sz w:val="28"/>
          <w:szCs w:val="28"/>
        </w:rPr>
      </w:pPr>
      <w:r>
        <w:rPr>
          <w:rFonts w:hint="eastAsia" w:ascii="宋体" w:hAnsi="宋体" w:cs="新宋体"/>
          <w:b/>
          <w:bCs/>
          <w:kern w:val="0"/>
          <w:sz w:val="28"/>
          <w:szCs w:val="28"/>
        </w:rPr>
        <w:t>公司破產重整最新進展</w:t>
      </w:r>
    </w:p>
    <w:p>
      <w:pPr>
        <w:autoSpaceDE w:val="0"/>
        <w:autoSpaceDN w:val="0"/>
        <w:adjustRightInd w:val="0"/>
        <w:spacing w:line="360" w:lineRule="auto"/>
        <w:ind w:firstLine="560" w:firstLineChars="200"/>
        <w:jc w:val="left"/>
        <w:rPr>
          <w:rFonts w:hint="default" w:ascii="宋体" w:hAnsi="宋体" w:cs="新宋体"/>
          <w:kern w:val="0"/>
          <w:sz w:val="28"/>
          <w:szCs w:val="28"/>
          <w:lang w:val="en-US" w:eastAsia="zh-CN"/>
        </w:rPr>
      </w:pPr>
      <w:r>
        <w:rPr>
          <w:rFonts w:hint="eastAsia" w:ascii="宋体" w:hAnsi="宋体" w:eastAsia="宋体" w:cs="新宋体"/>
          <w:kern w:val="0"/>
          <w:sz w:val="28"/>
          <w:szCs w:val="28"/>
          <w:lang w:val="en-US" w:eastAsia="zh-CN"/>
        </w:rPr>
        <w:t>繼公司境內主要實體公司陝西海升果業發展股份公司</w:t>
      </w:r>
      <w:r>
        <w:rPr>
          <w:rFonts w:hint="eastAsia" w:ascii="宋体" w:hAnsi="宋体" w:cs="新宋体"/>
          <w:kern w:val="0"/>
          <w:sz w:val="28"/>
          <w:szCs w:val="28"/>
          <w:lang w:val="en-US" w:eastAsia="zh-CN"/>
        </w:rPr>
        <w:t>（下稱：陝西海升）</w:t>
      </w:r>
      <w:r>
        <w:rPr>
          <w:rFonts w:hint="eastAsia" w:ascii="宋体" w:hAnsi="宋体" w:eastAsia="宋体" w:cs="新宋体"/>
          <w:kern w:val="0"/>
          <w:sz w:val="28"/>
          <w:szCs w:val="28"/>
          <w:lang w:val="en-US" w:eastAsia="zh-CN"/>
        </w:rPr>
        <w:t>於2022年6月</w:t>
      </w:r>
      <w:r>
        <w:rPr>
          <w:rFonts w:hint="eastAsia" w:ascii="宋体" w:hAnsi="宋体" w:cs="新宋体"/>
          <w:kern w:val="0"/>
          <w:sz w:val="28"/>
          <w:szCs w:val="28"/>
          <w:lang w:val="en-US" w:eastAsia="zh-CN"/>
        </w:rPr>
        <w:t>30 穫西安市中級人民法院裁定【（2022）陝01破2號之十】受理破產重整申請后，2023年3月3日陝西省高級人民法院出具民事裁定書【（2023）陝破監1號】，駁回六家銀行金融機構複議申請，維持陝西省西安市中級人民法院【（2022）陝01破32號之九】民事裁定書，即受理陝西海升下屬公司陝西現代果業集團有限公司等10家關聯公司作為第二批破產重整企業納入實質合併破產重整範圍。</w:t>
      </w:r>
    </w:p>
    <w:p>
      <w:pPr>
        <w:autoSpaceDE w:val="0"/>
        <w:autoSpaceDN w:val="0"/>
        <w:adjustRightInd w:val="0"/>
        <w:spacing w:line="360" w:lineRule="auto"/>
        <w:ind w:firstLine="560" w:firstLineChars="200"/>
        <w:jc w:val="left"/>
        <w:rPr>
          <w:rFonts w:hint="eastAsia" w:ascii="新宋体" w:hAnsi="新宋体" w:eastAsia="新宋体"/>
          <w:kern w:val="0"/>
          <w:sz w:val="28"/>
          <w:szCs w:val="28"/>
        </w:rPr>
      </w:pPr>
      <w:r>
        <w:rPr>
          <w:rFonts w:hint="eastAsia" w:ascii="宋体" w:hAnsi="宋体" w:cs="新宋体"/>
          <w:kern w:val="0"/>
          <w:sz w:val="28"/>
          <w:szCs w:val="28"/>
          <w:lang w:val="en-US" w:eastAsia="zh-CN"/>
        </w:rPr>
        <w:t>目前，相關破產重整企業正在破產管理人——陝西</w:t>
      </w:r>
      <w:r>
        <w:rPr>
          <w:rFonts w:hint="eastAsia" w:ascii="宋体" w:hAnsi="宋体" w:cs="新宋体"/>
          <w:kern w:val="0"/>
          <w:sz w:val="28"/>
          <w:szCs w:val="28"/>
        </w:rPr>
        <w:t>西秦金州會計師事務所組織下積極進行清產核資、債權申報、投資人引入洽談等工作</w:t>
      </w:r>
      <w:r>
        <w:rPr>
          <w:rFonts w:hint="eastAsia" w:ascii="宋体" w:hAnsi="宋体" w:cs="新宋体"/>
          <w:kern w:val="0"/>
          <w:sz w:val="28"/>
          <w:szCs w:val="28"/>
          <w:lang w:eastAsia="zh-CN"/>
        </w:rPr>
        <w:t>。</w:t>
      </w:r>
      <w:r>
        <w:rPr>
          <w:rFonts w:hint="eastAsia" w:ascii="宋体" w:hAnsi="宋体" w:cs="新宋体"/>
          <w:kern w:val="0"/>
          <w:sz w:val="28"/>
          <w:szCs w:val="28"/>
          <w:lang w:val="en-US" w:eastAsia="zh-CN"/>
        </w:rPr>
        <w:t>整體破產</w:t>
      </w:r>
      <w:r>
        <w:rPr>
          <w:rFonts w:hint="eastAsia" w:ascii="宋体" w:hAnsi="宋体" w:cs="新宋体"/>
          <w:kern w:val="0"/>
          <w:sz w:val="28"/>
          <w:szCs w:val="28"/>
        </w:rPr>
        <w:t>重整工作依照《企業破產法》及相關司法解釋規定正在有序推進</w:t>
      </w:r>
      <w:r>
        <w:rPr>
          <w:rFonts w:hint="eastAsia" w:ascii="宋体" w:hAnsi="宋体" w:cs="新宋体"/>
          <w:kern w:val="0"/>
          <w:sz w:val="28"/>
          <w:szCs w:val="28"/>
          <w:lang w:val="en-US" w:eastAsia="zh-CN"/>
        </w:rPr>
        <w:t>中</w:t>
      </w:r>
      <w:r>
        <w:rPr>
          <w:rFonts w:hint="eastAsia" w:ascii="宋体" w:hAnsi="宋体" w:cs="新宋体"/>
          <w:kern w:val="0"/>
          <w:sz w:val="28"/>
          <w:szCs w:val="28"/>
        </w:rPr>
        <w:t>。</w:t>
      </w:r>
    </w:p>
    <w:p>
      <w:pPr>
        <w:autoSpaceDE w:val="0"/>
        <w:autoSpaceDN w:val="0"/>
        <w:adjustRightInd w:val="0"/>
        <w:spacing w:line="360" w:lineRule="auto"/>
        <w:ind w:firstLine="562" w:firstLineChars="200"/>
        <w:jc w:val="left"/>
        <w:rPr>
          <w:rFonts w:hint="eastAsia" w:ascii="新宋体" w:hAnsi="新宋体" w:eastAsia="新宋体"/>
          <w:b/>
          <w:bCs/>
          <w:sz w:val="28"/>
          <w:szCs w:val="28"/>
        </w:rPr>
      </w:pPr>
      <w:r>
        <w:rPr>
          <w:rFonts w:hint="eastAsia" w:ascii="宋体" w:hAnsi="宋体" w:cs="新宋体"/>
          <w:b/>
          <w:bCs/>
          <w:kern w:val="0"/>
          <w:sz w:val="28"/>
          <w:szCs w:val="28"/>
        </w:rPr>
        <w:t>公司最新生產、經營情況</w:t>
      </w:r>
    </w:p>
    <w:p>
      <w:pPr>
        <w:autoSpaceDE w:val="0"/>
        <w:autoSpaceDN w:val="0"/>
        <w:adjustRightInd w:val="0"/>
        <w:spacing w:line="360" w:lineRule="auto"/>
        <w:ind w:firstLine="560" w:firstLineChars="200"/>
        <w:jc w:val="left"/>
        <w:rPr>
          <w:rFonts w:hint="eastAsia" w:ascii="宋体" w:hAnsi="宋体" w:eastAsia="宋体" w:cs="新宋体"/>
          <w:kern w:val="0"/>
          <w:sz w:val="28"/>
          <w:szCs w:val="28"/>
        </w:rPr>
      </w:pPr>
      <w:r>
        <w:rPr>
          <w:rFonts w:hint="eastAsia" w:ascii="宋体" w:hAnsi="宋体" w:eastAsia="宋体" w:cs="新宋体"/>
          <w:kern w:val="0"/>
          <w:sz w:val="28"/>
          <w:szCs w:val="28"/>
        </w:rPr>
        <w:t>陝西海升主營業務分為兩大板塊——加工板塊和農業板塊。</w:t>
      </w:r>
    </w:p>
    <w:p>
      <w:pPr>
        <w:autoSpaceDE w:val="0"/>
        <w:autoSpaceDN w:val="0"/>
        <w:adjustRightInd w:val="0"/>
        <w:spacing w:line="360" w:lineRule="auto"/>
        <w:ind w:firstLine="560" w:firstLineChars="200"/>
        <w:jc w:val="left"/>
        <w:rPr>
          <w:rFonts w:hint="eastAsia" w:ascii="宋体" w:hAnsi="宋体" w:cs="新宋体"/>
          <w:sz w:val="28"/>
          <w:szCs w:val="28"/>
          <w:lang w:val="en-US" w:eastAsia="zh-CN"/>
        </w:rPr>
      </w:pPr>
      <w:r>
        <w:rPr>
          <w:rFonts w:hint="eastAsia" w:ascii="宋体" w:hAnsi="宋体" w:eastAsia="宋体" w:cs="新宋体"/>
          <w:kern w:val="0"/>
          <w:sz w:val="28"/>
          <w:szCs w:val="28"/>
        </w:rPr>
        <w:t>截至</w:t>
      </w:r>
      <w:r>
        <w:rPr>
          <w:rFonts w:hint="eastAsia" w:ascii="宋体" w:hAnsi="宋体" w:cs="新宋体"/>
          <w:kern w:val="0"/>
          <w:sz w:val="28"/>
          <w:szCs w:val="28"/>
          <w:lang w:val="en-US" w:eastAsia="zh-CN"/>
        </w:rPr>
        <w:t>本公告日</w:t>
      </w:r>
      <w:r>
        <w:rPr>
          <w:rFonts w:hint="eastAsia" w:ascii="宋体" w:hAnsi="宋体" w:eastAsia="宋体" w:cs="新宋体"/>
          <w:kern w:val="0"/>
          <w:sz w:val="28"/>
          <w:szCs w:val="28"/>
        </w:rPr>
        <w:t>，</w:t>
      </w:r>
      <w:r>
        <w:rPr>
          <w:rFonts w:hint="eastAsia" w:ascii="宋体" w:hAnsi="宋体" w:eastAsia="宋体" w:cs="新宋体"/>
          <w:sz w:val="28"/>
          <w:szCs w:val="28"/>
        </w:rPr>
        <w:t>公司</w:t>
      </w:r>
      <w:r>
        <w:rPr>
          <w:rFonts w:hint="eastAsia" w:ascii="宋体" w:hAnsi="宋体" w:cs="新宋体"/>
          <w:sz w:val="28"/>
          <w:szCs w:val="28"/>
          <w:lang w:val="en-US" w:eastAsia="zh-CN"/>
        </w:rPr>
        <w:t>加工板塊2022榨季通過工廠OEM代工、整體出租等方式產生收益，基本覆蓋了工廠固定資產折舊、人員團隊薪酬等固定成本。</w:t>
      </w:r>
    </w:p>
    <w:p>
      <w:pPr>
        <w:autoSpaceDE w:val="0"/>
        <w:autoSpaceDN w:val="0"/>
        <w:adjustRightInd w:val="0"/>
        <w:spacing w:line="360" w:lineRule="auto"/>
        <w:ind w:firstLine="560" w:firstLineChars="200"/>
        <w:jc w:val="left"/>
        <w:rPr>
          <w:rFonts w:hint="default" w:ascii="宋体" w:hAnsi="宋体" w:eastAsia="宋体" w:cs="新宋体"/>
          <w:sz w:val="28"/>
          <w:szCs w:val="28"/>
          <w:lang w:val="en-US" w:eastAsia="zh-CN"/>
        </w:rPr>
      </w:pPr>
      <w:r>
        <w:rPr>
          <w:rFonts w:hint="eastAsia" w:ascii="宋体" w:hAnsi="宋体" w:cs="新宋体"/>
          <w:sz w:val="28"/>
          <w:szCs w:val="28"/>
          <w:lang w:val="en-US" w:eastAsia="zh-CN"/>
        </w:rPr>
        <w:t>截至本公告日，公司農業板塊積極踐行“瘦身健體、提質增效”經營策略，通過股權轉讓及“債隨資產走”等方式處置了一批長期虧損或扭虧無望的低效、無效資產和眾多“殭屍企業”，從而最大程度壓減了負債規模，集中精力和現有資源于優質保留基地。</w:t>
      </w:r>
    </w:p>
    <w:p>
      <w:pPr>
        <w:autoSpaceDE w:val="0"/>
        <w:autoSpaceDN w:val="0"/>
        <w:adjustRightInd w:val="0"/>
        <w:spacing w:line="360" w:lineRule="auto"/>
        <w:ind w:firstLine="562" w:firstLineChars="200"/>
        <w:jc w:val="left"/>
        <w:rPr>
          <w:rFonts w:hint="eastAsia" w:ascii="新宋体" w:hAnsi="新宋体" w:cs="新宋体"/>
          <w:b/>
          <w:bCs/>
          <w:kern w:val="0"/>
          <w:sz w:val="28"/>
          <w:szCs w:val="28"/>
        </w:rPr>
      </w:pPr>
      <w:r>
        <w:rPr>
          <w:rFonts w:hint="eastAsia" w:ascii="宋体" w:hAnsi="宋体" w:cs="新宋体"/>
          <w:b/>
          <w:bCs/>
          <w:kern w:val="0"/>
          <w:sz w:val="28"/>
          <w:szCs w:val="28"/>
        </w:rPr>
        <w:t>繼續停牌</w:t>
      </w:r>
    </w:p>
    <w:p>
      <w:pPr>
        <w:spacing w:line="360" w:lineRule="auto"/>
        <w:ind w:firstLine="560" w:firstLineChars="200"/>
        <w:rPr>
          <w:rFonts w:hint="eastAsia" w:ascii="宋体" w:hAnsi="宋体" w:cs="新宋体"/>
          <w:sz w:val="28"/>
          <w:szCs w:val="28"/>
        </w:rPr>
      </w:pPr>
      <w:r>
        <w:rPr>
          <w:rFonts w:hint="eastAsia" w:ascii="宋体" w:hAnsi="宋体" w:cs="新宋体"/>
          <w:sz w:val="28"/>
          <w:szCs w:val="28"/>
          <w:lang w:val="en-US" w:eastAsia="zh-CN"/>
        </w:rPr>
        <w:t>鑒於公司目前正處在破產重整程序中，“破產重整方案”正在加緊制定匯總，公司經營狀況尚未得到實質性改善，重整投資人引入尚具有不確定性，</w:t>
      </w:r>
      <w:r>
        <w:rPr>
          <w:rFonts w:hint="eastAsia" w:ascii="宋体" w:hAnsi="宋体" w:cs="新宋体"/>
          <w:sz w:val="28"/>
          <w:szCs w:val="28"/>
        </w:rPr>
        <w:t>公司目前尚不具備完全滿足聯交所《上市規則》中相關</w:t>
      </w:r>
      <w:r>
        <w:rPr>
          <w:rFonts w:hint="eastAsia" w:ascii="宋体" w:hAnsi="宋体" w:cs="新宋体"/>
          <w:sz w:val="28"/>
          <w:szCs w:val="28"/>
          <w:lang w:val="en-US" w:eastAsia="zh-CN"/>
        </w:rPr>
        <w:t>股票恢復交易</w:t>
      </w:r>
      <w:r>
        <w:rPr>
          <w:rFonts w:hint="eastAsia" w:ascii="宋体" w:hAnsi="宋体" w:cs="新宋体"/>
          <w:sz w:val="28"/>
          <w:szCs w:val="28"/>
        </w:rPr>
        <w:t>的條件，無法進行其他應披露而未披露事項的披露。因此，</w:t>
      </w:r>
      <w:r>
        <w:rPr>
          <w:rFonts w:hint="eastAsia" w:ascii="宋体" w:hAnsi="宋体" w:cs="新宋体"/>
          <w:sz w:val="28"/>
          <w:szCs w:val="28"/>
          <w:lang w:val="en-US" w:eastAsia="zh-CN"/>
        </w:rPr>
        <w:t>申請</w:t>
      </w:r>
      <w:r>
        <w:rPr>
          <w:rFonts w:hint="eastAsia" w:ascii="宋体" w:hAnsi="宋体" w:cs="新宋体"/>
          <w:sz w:val="28"/>
          <w:szCs w:val="28"/>
        </w:rPr>
        <w:t>繼續停牌。</w:t>
      </w:r>
    </w:p>
    <w:p>
      <w:pPr>
        <w:spacing w:line="360" w:lineRule="auto"/>
        <w:ind w:firstLine="562" w:firstLineChars="200"/>
        <w:rPr>
          <w:rFonts w:hint="eastAsia" w:ascii="新宋体" w:hAnsi="新宋体" w:eastAsia="新宋体"/>
          <w:b/>
          <w:bCs/>
          <w:sz w:val="28"/>
          <w:szCs w:val="28"/>
        </w:rPr>
      </w:pPr>
      <w:r>
        <w:rPr>
          <w:rFonts w:hint="eastAsia" w:ascii="宋体" w:hAnsi="宋体" w:cs="新宋体"/>
          <w:b/>
          <w:bCs/>
          <w:sz w:val="28"/>
          <w:szCs w:val="28"/>
        </w:rPr>
        <w:t>本公司股東及有意投資者於買賣本公司證券時，務請審慎行事。</w:t>
      </w:r>
    </w:p>
    <w:p>
      <w:pPr>
        <w:spacing w:line="360" w:lineRule="auto"/>
        <w:ind w:firstLine="5154" w:firstLineChars="1841"/>
        <w:jc w:val="center"/>
        <w:rPr>
          <w:rFonts w:ascii="新宋体" w:hAnsi="新宋体" w:cs="新宋体"/>
          <w:sz w:val="28"/>
          <w:szCs w:val="28"/>
        </w:rPr>
      </w:pPr>
      <w:r>
        <w:rPr>
          <w:rFonts w:hint="eastAsia" w:ascii="新宋体" w:hAnsi="新宋体" w:cs="新宋体"/>
          <w:sz w:val="28"/>
          <w:szCs w:val="28"/>
        </w:rPr>
        <w:t xml:space="preserve"> </w:t>
      </w:r>
    </w:p>
    <w:p>
      <w:pPr>
        <w:spacing w:line="360" w:lineRule="auto"/>
        <w:ind w:firstLine="5154" w:firstLineChars="1841"/>
        <w:jc w:val="center"/>
        <w:rPr>
          <w:rFonts w:ascii="新宋体" w:hAnsi="新宋体" w:cs="新宋体"/>
          <w:sz w:val="28"/>
          <w:szCs w:val="28"/>
        </w:rPr>
      </w:pPr>
    </w:p>
    <w:p>
      <w:pPr>
        <w:spacing w:line="360" w:lineRule="auto"/>
        <w:ind w:firstLine="5154" w:firstLineChars="1841"/>
        <w:jc w:val="center"/>
        <w:rPr>
          <w:rFonts w:ascii="新宋体" w:hAnsi="新宋体" w:cs="新宋体"/>
          <w:sz w:val="28"/>
          <w:szCs w:val="28"/>
        </w:rPr>
      </w:pPr>
    </w:p>
    <w:p>
      <w:pPr>
        <w:spacing w:line="360" w:lineRule="auto"/>
        <w:ind w:firstLine="5154" w:firstLineChars="1841"/>
        <w:jc w:val="center"/>
        <w:rPr>
          <w:rFonts w:hint="eastAsia" w:ascii="新宋体" w:hAnsi="新宋体" w:cs="新宋体"/>
          <w:sz w:val="28"/>
          <w:szCs w:val="28"/>
        </w:rPr>
      </w:pPr>
    </w:p>
    <w:p>
      <w:pPr>
        <w:spacing w:line="360" w:lineRule="auto"/>
        <w:ind w:firstLine="5154" w:firstLineChars="1841"/>
        <w:jc w:val="center"/>
        <w:rPr>
          <w:rFonts w:hint="eastAsia" w:ascii="新宋体" w:hAnsi="新宋体" w:eastAsia="新宋体"/>
          <w:sz w:val="28"/>
          <w:szCs w:val="28"/>
        </w:rPr>
      </w:pPr>
      <w:r>
        <w:rPr>
          <w:rFonts w:hint="eastAsia" w:ascii="宋体" w:hAnsi="宋体" w:cs="新宋体"/>
          <w:sz w:val="28"/>
          <w:szCs w:val="28"/>
        </w:rPr>
        <w:t>承董事會命</w:t>
      </w:r>
    </w:p>
    <w:p>
      <w:pPr>
        <w:spacing w:line="360" w:lineRule="auto"/>
        <w:jc w:val="right"/>
        <w:rPr>
          <w:rFonts w:hint="eastAsia" w:ascii="新宋体" w:hAnsi="新宋体" w:eastAsia="新宋体"/>
          <w:b/>
          <w:bCs/>
          <w:sz w:val="28"/>
          <w:szCs w:val="28"/>
        </w:rPr>
      </w:pPr>
      <w:r>
        <w:rPr>
          <w:rFonts w:hint="eastAsia" w:ascii="宋体" w:hAnsi="宋体" w:cs="新宋体"/>
          <w:b/>
          <w:bCs/>
          <w:sz w:val="28"/>
          <w:szCs w:val="28"/>
        </w:rPr>
        <w:t>中國海升果汁控股有限公司</w:t>
      </w:r>
    </w:p>
    <w:p>
      <w:pPr>
        <w:spacing w:line="360" w:lineRule="auto"/>
        <w:ind w:firstLine="5154" w:firstLineChars="1841"/>
        <w:jc w:val="center"/>
        <w:rPr>
          <w:rFonts w:hint="eastAsia" w:ascii="新宋体" w:hAnsi="新宋体" w:eastAsia="新宋体"/>
          <w:i/>
          <w:iCs/>
          <w:sz w:val="28"/>
          <w:szCs w:val="28"/>
        </w:rPr>
      </w:pPr>
      <w:r>
        <w:rPr>
          <w:rFonts w:hint="eastAsia" w:ascii="宋体" w:hAnsi="宋体" w:cs="新宋体"/>
          <w:i/>
          <w:iCs/>
          <w:sz w:val="28"/>
          <w:szCs w:val="28"/>
        </w:rPr>
        <w:t>主席兼執行董事</w:t>
      </w:r>
    </w:p>
    <w:p>
      <w:pPr>
        <w:autoSpaceDE w:val="0"/>
        <w:autoSpaceDN w:val="0"/>
        <w:adjustRightInd w:val="0"/>
        <w:spacing w:line="360" w:lineRule="auto"/>
        <w:ind w:firstLine="5667" w:firstLineChars="2016"/>
        <w:jc w:val="center"/>
        <w:rPr>
          <w:rFonts w:ascii="宋体" w:hAnsi="宋体" w:cs="新宋体"/>
          <w:b/>
          <w:bCs/>
          <w:sz w:val="28"/>
          <w:szCs w:val="28"/>
        </w:rPr>
      </w:pPr>
      <w:r>
        <w:rPr>
          <w:rFonts w:hint="eastAsia" w:ascii="宋体" w:hAnsi="宋体" w:cs="新宋体"/>
          <w:b/>
          <w:bCs/>
          <w:sz w:val="28"/>
          <w:szCs w:val="28"/>
        </w:rPr>
        <w:t>高亮</w:t>
      </w:r>
    </w:p>
    <w:p>
      <w:pPr>
        <w:autoSpaceDE w:val="0"/>
        <w:autoSpaceDN w:val="0"/>
        <w:adjustRightInd w:val="0"/>
        <w:spacing w:line="360" w:lineRule="auto"/>
        <w:ind w:firstLine="5667" w:firstLineChars="2016"/>
        <w:jc w:val="center"/>
        <w:rPr>
          <w:rFonts w:ascii="新宋体" w:hAnsi="新宋体" w:eastAsia="新宋体"/>
          <w:b/>
          <w:bCs/>
          <w:sz w:val="28"/>
          <w:szCs w:val="28"/>
        </w:rPr>
      </w:pPr>
    </w:p>
    <w:p>
      <w:pPr>
        <w:autoSpaceDE w:val="0"/>
        <w:autoSpaceDN w:val="0"/>
        <w:adjustRightInd w:val="0"/>
        <w:spacing w:line="360" w:lineRule="auto"/>
        <w:ind w:firstLine="5667" w:firstLineChars="2016"/>
        <w:jc w:val="center"/>
        <w:rPr>
          <w:rFonts w:hint="eastAsia" w:ascii="新宋体" w:hAnsi="新宋体" w:eastAsia="新宋体"/>
          <w:b/>
          <w:bCs/>
          <w:sz w:val="28"/>
          <w:szCs w:val="28"/>
        </w:rPr>
      </w:pPr>
    </w:p>
    <w:p>
      <w:pPr>
        <w:autoSpaceDE w:val="0"/>
        <w:autoSpaceDN w:val="0"/>
        <w:adjustRightInd w:val="0"/>
        <w:spacing w:line="360" w:lineRule="auto"/>
        <w:jc w:val="left"/>
        <w:rPr>
          <w:rFonts w:hint="eastAsia" w:ascii="新宋体" w:hAnsi="新宋体" w:eastAsia="新宋体"/>
          <w:kern w:val="0"/>
          <w:sz w:val="28"/>
          <w:szCs w:val="28"/>
        </w:rPr>
      </w:pPr>
      <w:r>
        <w:rPr>
          <w:rFonts w:hint="eastAsia" w:ascii="宋体" w:hAnsi="宋体" w:cs="新宋体"/>
          <w:kern w:val="0"/>
          <w:sz w:val="28"/>
          <w:szCs w:val="28"/>
        </w:rPr>
        <w:t>中華人民共和國</w:t>
      </w:r>
      <w:r>
        <w:rPr>
          <w:rFonts w:hint="eastAsia" w:ascii="新宋体" w:hAnsi="新宋体" w:cs="新宋体"/>
          <w:kern w:val="0"/>
          <w:sz w:val="28"/>
          <w:szCs w:val="28"/>
        </w:rPr>
        <w:t xml:space="preserve"> </w:t>
      </w:r>
      <w:r>
        <w:rPr>
          <w:rFonts w:hint="eastAsia" w:ascii="宋体" w:hAnsi="宋体" w:cs="新宋体"/>
          <w:kern w:val="0"/>
          <w:sz w:val="28"/>
          <w:szCs w:val="28"/>
        </w:rPr>
        <w:t xml:space="preserve">西安， </w:t>
      </w:r>
      <w:r>
        <w:rPr>
          <w:rFonts w:hint="eastAsia" w:ascii="新宋体" w:hAnsi="新宋体" w:eastAsia="新宋体" w:cs="新宋体"/>
          <w:kern w:val="0"/>
          <w:sz w:val="28"/>
          <w:szCs w:val="28"/>
        </w:rPr>
        <w:t>202</w:t>
      </w:r>
      <w:r>
        <w:rPr>
          <w:rFonts w:hint="eastAsia" w:ascii="新宋体" w:hAnsi="新宋体" w:eastAsia="新宋体" w:cs="新宋体"/>
          <w:kern w:val="0"/>
          <w:sz w:val="28"/>
          <w:szCs w:val="28"/>
          <w:lang w:val="en-US" w:eastAsia="zh-CN"/>
        </w:rPr>
        <w:t>3</w:t>
      </w:r>
      <w:r>
        <w:rPr>
          <w:rFonts w:hint="eastAsia" w:ascii="新宋体" w:hAnsi="新宋体" w:eastAsia="新宋体" w:cs="新宋体"/>
          <w:kern w:val="0"/>
          <w:sz w:val="28"/>
          <w:szCs w:val="28"/>
        </w:rPr>
        <w:t xml:space="preserve"> </w:t>
      </w:r>
      <w:r>
        <w:rPr>
          <w:rFonts w:hint="eastAsia" w:ascii="宋体" w:hAnsi="宋体" w:cs="新宋体"/>
          <w:kern w:val="0"/>
          <w:sz w:val="28"/>
          <w:szCs w:val="28"/>
        </w:rPr>
        <w:t>年</w:t>
      </w:r>
      <w:r>
        <w:rPr>
          <w:rFonts w:hint="eastAsia" w:ascii="宋体" w:hAnsi="宋体" w:cs="新宋体"/>
          <w:kern w:val="0"/>
          <w:sz w:val="28"/>
          <w:szCs w:val="28"/>
          <w:lang w:val="en-US" w:eastAsia="zh-CN"/>
        </w:rPr>
        <w:t xml:space="preserve"> </w:t>
      </w:r>
      <w:r>
        <w:rPr>
          <w:rFonts w:hint="eastAsia" w:ascii="新宋体" w:hAnsi="新宋体" w:eastAsia="新宋体" w:cs="新宋体"/>
          <w:kern w:val="0"/>
          <w:sz w:val="28"/>
          <w:szCs w:val="28"/>
          <w:lang w:val="en-US" w:eastAsia="zh-CN"/>
        </w:rPr>
        <w:t xml:space="preserve">4 </w:t>
      </w:r>
      <w:r>
        <w:rPr>
          <w:rFonts w:hint="eastAsia" w:ascii="宋体" w:hAnsi="宋体" w:cs="新宋体"/>
          <w:kern w:val="0"/>
          <w:sz w:val="28"/>
          <w:szCs w:val="28"/>
        </w:rPr>
        <w:t>月</w:t>
      </w:r>
      <w:r>
        <w:rPr>
          <w:rFonts w:hint="eastAsia" w:ascii="宋体" w:hAnsi="宋体" w:cs="新宋体"/>
          <w:kern w:val="0"/>
          <w:sz w:val="28"/>
          <w:szCs w:val="28"/>
          <w:lang w:val="en-US" w:eastAsia="zh-CN"/>
        </w:rPr>
        <w:t xml:space="preserve"> </w:t>
      </w:r>
      <w:r>
        <w:rPr>
          <w:rFonts w:hint="eastAsia" w:ascii="新宋体" w:hAnsi="新宋体" w:eastAsia="新宋体" w:cs="新宋体"/>
          <w:kern w:val="0"/>
          <w:sz w:val="28"/>
          <w:szCs w:val="28"/>
          <w:lang w:val="en-US" w:eastAsia="zh-CN"/>
        </w:rPr>
        <w:t xml:space="preserve">6 </w:t>
      </w:r>
      <w:r>
        <w:rPr>
          <w:rFonts w:hint="eastAsia" w:ascii="宋体" w:hAnsi="宋体" w:cs="新宋体"/>
          <w:kern w:val="0"/>
          <w:sz w:val="28"/>
          <w:szCs w:val="28"/>
        </w:rPr>
        <w:t>日</w:t>
      </w:r>
    </w:p>
    <w:p>
      <w:pPr>
        <w:autoSpaceDE w:val="0"/>
        <w:autoSpaceDN w:val="0"/>
        <w:adjustRightInd w:val="0"/>
        <w:spacing w:line="360" w:lineRule="auto"/>
        <w:jc w:val="left"/>
        <w:rPr>
          <w:rFonts w:hint="eastAsia" w:ascii="新宋体" w:hAnsi="新宋体" w:eastAsia="新宋体"/>
          <w:kern w:val="0"/>
          <w:sz w:val="28"/>
          <w:szCs w:val="28"/>
        </w:rPr>
      </w:pPr>
      <w:r>
        <w:rPr>
          <w:rFonts w:hint="eastAsia" w:ascii="新宋体" w:hAnsi="新宋体" w:eastAsia="新宋体"/>
          <w:kern w:val="0"/>
          <w:sz w:val="28"/>
          <w:szCs w:val="28"/>
        </w:rPr>
        <w:t xml:space="preserve"> </w:t>
      </w:r>
    </w:p>
    <w:p>
      <w:pPr>
        <w:autoSpaceDE w:val="0"/>
        <w:autoSpaceDN w:val="0"/>
        <w:adjustRightInd w:val="0"/>
        <w:spacing w:line="360" w:lineRule="auto"/>
        <w:jc w:val="left"/>
        <w:rPr>
          <w:rFonts w:hint="eastAsia" w:ascii="新宋体" w:hAnsi="新宋体" w:eastAsia="新宋体"/>
          <w:kern w:val="0"/>
          <w:sz w:val="28"/>
          <w:szCs w:val="28"/>
        </w:rPr>
      </w:pPr>
      <w:r>
        <w:rPr>
          <w:rFonts w:hint="eastAsia" w:ascii="宋体" w:hAnsi="宋体" w:cs="新宋体"/>
          <w:kern w:val="0"/>
          <w:sz w:val="28"/>
          <w:szCs w:val="28"/>
        </w:rPr>
        <w:t>於本公告日期，執行董事為高亮先生；而獨立非執行董事為趙伯祥先生、劉忠立先生。</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042EF7"/>
    <w:multiLevelType w:val="multilevel"/>
    <w:tmpl w:val="77042EF7"/>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mM2RiNjZiOTZjYmU2NWRhNDdmMWRmNGU1MDllNjYifQ=="/>
  </w:docVars>
  <w:rsids>
    <w:rsidRoot w:val="29821008"/>
    <w:rsid w:val="1E6E4153"/>
    <w:rsid w:val="29821008"/>
    <w:rsid w:val="38ED303B"/>
    <w:rsid w:val="3C526032"/>
    <w:rsid w:val="43996CCD"/>
    <w:rsid w:val="463A6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1070</Words>
  <Characters>1139</Characters>
  <Lines>0</Lines>
  <Paragraphs>0</Paragraphs>
  <TotalTime>20</TotalTime>
  <ScaleCrop>false</ScaleCrop>
  <LinksUpToDate>false</LinksUpToDate>
  <CharactersWithSpaces>1158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2023-03-30T06:40:00Z</dcterms:created>
  <dc:creator>孙军</dc:creator>
  <cp:lastModifiedBy>孙军</cp:lastModifiedBy>
  <dcterms:modified xsi:type="dcterms:W3CDTF">2023-04-06T08:12:37Z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261FB4488A4C4CC9A02BEF09DF1735AE</vt:lpwstr>
  </property>
</Properties>
</file>