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0E" w:rsidRDefault="000E1330">
      <w:pPr>
        <w:rPr>
          <w:rFonts w:ascii="宋体" w:hAnsi="宋体"/>
          <w:sz w:val="24"/>
          <w:szCs w:val="24"/>
        </w:rPr>
      </w:pPr>
      <w:r>
        <w:rPr>
          <w:rFonts w:ascii="宋体" w:hAnsi="宋体" w:hint="eastAsia"/>
          <w:noProof/>
          <w:sz w:val="24"/>
          <w:szCs w:val="24"/>
        </w:rPr>
        <w:drawing>
          <wp:anchor distT="0" distB="0" distL="114300" distR="114300" simplePos="0" relativeHeight="251659264" behindDoc="0" locked="0" layoutInCell="1" allowOverlap="1">
            <wp:simplePos x="0" y="0"/>
            <wp:positionH relativeFrom="column">
              <wp:posOffset>-8255</wp:posOffset>
            </wp:positionH>
            <wp:positionV relativeFrom="paragraph">
              <wp:posOffset>-83820</wp:posOffset>
            </wp:positionV>
            <wp:extent cx="5285740" cy="370840"/>
            <wp:effectExtent l="0" t="0" r="0" b="0"/>
            <wp:wrapNone/>
            <wp:docPr id="1" name="图片 2" descr="CSSC+中船防务(左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SSC+中船防务(左右)"/>
                    <pic:cNvPicPr>
                      <a:picLocks noChangeAspect="1"/>
                    </pic:cNvPicPr>
                  </pic:nvPicPr>
                  <pic:blipFill>
                    <a:blip r:embed="rId9"/>
                    <a:stretch>
                      <a:fillRect/>
                    </a:stretch>
                  </pic:blipFill>
                  <pic:spPr>
                    <a:xfrm>
                      <a:off x="0" y="0"/>
                      <a:ext cx="5285740" cy="370840"/>
                    </a:xfrm>
                    <a:prstGeom prst="rect">
                      <a:avLst/>
                    </a:prstGeom>
                    <a:noFill/>
                    <a:ln>
                      <a:noFill/>
                    </a:ln>
                  </pic:spPr>
                </pic:pic>
              </a:graphicData>
            </a:graphic>
          </wp:anchor>
        </w:drawing>
      </w:r>
    </w:p>
    <w:p w:rsidR="0097330E" w:rsidRDefault="0016620E" w:rsidP="001705C6">
      <w:pPr>
        <w:autoSpaceDE w:val="0"/>
        <w:autoSpaceDN w:val="0"/>
        <w:spacing w:beforeLines="150" w:before="468" w:afterLines="50" w:after="156"/>
        <w:jc w:val="center"/>
        <w:rPr>
          <w:rFonts w:ascii="宋体" w:hAnsi="宋体"/>
          <w:b/>
          <w:sz w:val="32"/>
          <w:szCs w:val="32"/>
        </w:rPr>
      </w:pPr>
      <w:r w:rsidRPr="0016620E">
        <w:rPr>
          <w:rFonts w:ascii="宋体" w:eastAsia="PMingLiU" w:hAnsi="宋体" w:hint="eastAsia"/>
          <w:b/>
          <w:sz w:val="32"/>
          <w:szCs w:val="32"/>
          <w:lang w:eastAsia="zh-TW"/>
        </w:rPr>
        <w:t>審計委員會實施細則</w:t>
      </w:r>
    </w:p>
    <w:p w:rsidR="0097330E" w:rsidRDefault="0016620E" w:rsidP="00AF2973">
      <w:pPr>
        <w:spacing w:line="520" w:lineRule="exact"/>
        <w:jc w:val="center"/>
        <w:rPr>
          <w:rFonts w:ascii="宋体" w:hAnsi="宋体" w:cs="宋体"/>
          <w:sz w:val="24"/>
          <w:szCs w:val="24"/>
        </w:rPr>
      </w:pPr>
      <w:r w:rsidRPr="0016620E">
        <w:rPr>
          <w:rFonts w:ascii="宋体" w:eastAsia="PMingLiU" w:hAnsi="宋体" w:cs="宋体" w:hint="eastAsia"/>
          <w:sz w:val="24"/>
          <w:szCs w:val="24"/>
          <w:lang w:eastAsia="zh-TW"/>
        </w:rPr>
        <w:t>（本細則經</w:t>
      </w:r>
      <w:r w:rsidRPr="0016620E">
        <w:rPr>
          <w:rFonts w:ascii="宋体" w:eastAsia="PMingLiU" w:hAnsi="宋体" w:cs="宋体"/>
          <w:sz w:val="24"/>
          <w:szCs w:val="24"/>
          <w:lang w:eastAsia="zh-TW"/>
        </w:rPr>
        <w:t>2004</w:t>
      </w:r>
      <w:r w:rsidRPr="0016620E">
        <w:rPr>
          <w:rFonts w:ascii="宋体" w:eastAsia="PMingLiU" w:hAnsi="宋体" w:cs="宋体" w:hint="eastAsia"/>
          <w:sz w:val="24"/>
          <w:szCs w:val="24"/>
          <w:lang w:eastAsia="zh-TW"/>
        </w:rPr>
        <w:t>年</w:t>
      </w:r>
      <w:r w:rsidRPr="0016620E">
        <w:rPr>
          <w:rFonts w:ascii="宋体" w:eastAsia="PMingLiU" w:hAnsi="宋体" w:cs="宋体"/>
          <w:sz w:val="24"/>
          <w:szCs w:val="24"/>
          <w:lang w:eastAsia="zh-TW"/>
        </w:rPr>
        <w:t>2</w:t>
      </w:r>
      <w:r w:rsidRPr="0016620E">
        <w:rPr>
          <w:rFonts w:ascii="宋体" w:eastAsia="PMingLiU" w:hAnsi="宋体" w:cs="宋体" w:hint="eastAsia"/>
          <w:sz w:val="24"/>
          <w:szCs w:val="24"/>
          <w:lang w:eastAsia="zh-TW"/>
        </w:rPr>
        <w:t>月</w:t>
      </w:r>
      <w:r w:rsidRPr="0016620E">
        <w:rPr>
          <w:rFonts w:ascii="宋体" w:eastAsia="PMingLiU" w:hAnsi="宋体" w:cs="宋体"/>
          <w:sz w:val="24"/>
          <w:szCs w:val="24"/>
          <w:lang w:eastAsia="zh-TW"/>
        </w:rPr>
        <w:t>6</w:t>
      </w:r>
      <w:r w:rsidRPr="0016620E">
        <w:rPr>
          <w:rFonts w:ascii="宋体" w:eastAsia="PMingLiU" w:hAnsi="宋体" w:cs="宋体" w:hint="eastAsia"/>
          <w:sz w:val="24"/>
          <w:szCs w:val="24"/>
          <w:lang w:eastAsia="zh-TW"/>
        </w:rPr>
        <w:t>日第四届董事會第十二次會議審議通過）</w:t>
      </w:r>
      <w:r w:rsidR="000E1330">
        <w:rPr>
          <w:rFonts w:ascii="宋体" w:hAnsi="宋体" w:cs="宋体" w:hint="eastAsia"/>
          <w:sz w:val="24"/>
          <w:szCs w:val="24"/>
        </w:rPr>
        <w:t xml:space="preserve"> </w:t>
      </w:r>
    </w:p>
    <w:p w:rsidR="0097330E" w:rsidRDefault="0016620E" w:rsidP="00AF2973">
      <w:pPr>
        <w:spacing w:line="520" w:lineRule="exact"/>
        <w:jc w:val="center"/>
        <w:rPr>
          <w:rFonts w:ascii="宋体" w:hAnsi="宋体" w:cs="宋体"/>
          <w:sz w:val="24"/>
          <w:szCs w:val="24"/>
        </w:rPr>
      </w:pPr>
      <w:r w:rsidRPr="0016620E">
        <w:rPr>
          <w:rFonts w:ascii="宋体" w:eastAsia="PMingLiU" w:hAnsi="宋体" w:cs="宋体" w:hint="eastAsia"/>
          <w:sz w:val="24"/>
          <w:szCs w:val="24"/>
          <w:lang w:eastAsia="zh-TW"/>
        </w:rPr>
        <w:t>（</w:t>
      </w:r>
      <w:r w:rsidRPr="0016620E">
        <w:rPr>
          <w:rFonts w:ascii="宋体" w:eastAsia="PMingLiU" w:hAnsi="宋体" w:cs="宋体"/>
          <w:sz w:val="24"/>
          <w:szCs w:val="24"/>
          <w:lang w:eastAsia="zh-TW"/>
        </w:rPr>
        <w:t>2012</w:t>
      </w:r>
      <w:r w:rsidRPr="0016620E">
        <w:rPr>
          <w:rFonts w:ascii="宋体" w:eastAsia="PMingLiU" w:hAnsi="宋体" w:cs="宋体" w:hint="eastAsia"/>
          <w:sz w:val="24"/>
          <w:szCs w:val="24"/>
          <w:lang w:eastAsia="zh-TW"/>
        </w:rPr>
        <w:t>年</w:t>
      </w:r>
      <w:r w:rsidRPr="0016620E">
        <w:rPr>
          <w:rFonts w:ascii="宋体" w:eastAsia="PMingLiU" w:hAnsi="宋体" w:cs="宋体"/>
          <w:sz w:val="24"/>
          <w:szCs w:val="24"/>
          <w:lang w:eastAsia="zh-TW"/>
        </w:rPr>
        <w:t>3</w:t>
      </w:r>
      <w:r w:rsidRPr="0016620E">
        <w:rPr>
          <w:rFonts w:ascii="宋体" w:eastAsia="PMingLiU" w:hAnsi="宋体" w:cs="宋体" w:hint="eastAsia"/>
          <w:sz w:val="24"/>
          <w:szCs w:val="24"/>
          <w:lang w:eastAsia="zh-TW"/>
        </w:rPr>
        <w:t>月</w:t>
      </w:r>
      <w:r w:rsidRPr="0016620E">
        <w:rPr>
          <w:rFonts w:ascii="宋体" w:eastAsia="PMingLiU" w:hAnsi="宋体" w:cs="宋体"/>
          <w:sz w:val="24"/>
          <w:szCs w:val="24"/>
          <w:lang w:eastAsia="zh-TW"/>
        </w:rPr>
        <w:t>29</w:t>
      </w:r>
      <w:r w:rsidRPr="0016620E">
        <w:rPr>
          <w:rFonts w:ascii="宋体" w:eastAsia="PMingLiU" w:hAnsi="宋体" w:cs="宋体" w:hint="eastAsia"/>
          <w:sz w:val="24"/>
          <w:szCs w:val="24"/>
          <w:lang w:eastAsia="zh-TW"/>
        </w:rPr>
        <w:t>日第七届董事會第六次會議第一次修訂）</w:t>
      </w:r>
      <w:r w:rsidR="000E1330">
        <w:rPr>
          <w:rFonts w:ascii="宋体" w:hAnsi="宋体" w:cs="宋体" w:hint="eastAsia"/>
          <w:sz w:val="24"/>
          <w:szCs w:val="24"/>
        </w:rPr>
        <w:t xml:space="preserve"> </w:t>
      </w:r>
    </w:p>
    <w:p w:rsidR="0097330E" w:rsidRDefault="0016620E" w:rsidP="00AF2973">
      <w:pPr>
        <w:spacing w:line="520" w:lineRule="exact"/>
        <w:jc w:val="center"/>
        <w:rPr>
          <w:rFonts w:ascii="宋体" w:hAnsi="宋体" w:cs="宋体"/>
          <w:sz w:val="24"/>
          <w:szCs w:val="24"/>
        </w:rPr>
      </w:pPr>
      <w:r w:rsidRPr="0016620E">
        <w:rPr>
          <w:rFonts w:ascii="宋体" w:eastAsia="PMingLiU" w:hAnsi="宋体" w:cs="宋体" w:hint="eastAsia"/>
          <w:sz w:val="24"/>
          <w:szCs w:val="24"/>
          <w:lang w:eastAsia="zh-TW"/>
        </w:rPr>
        <w:t>（</w:t>
      </w:r>
      <w:r w:rsidRPr="0016620E">
        <w:rPr>
          <w:rFonts w:ascii="宋体" w:eastAsia="PMingLiU" w:hAnsi="宋体" w:cs="宋体"/>
          <w:sz w:val="24"/>
          <w:szCs w:val="24"/>
          <w:lang w:eastAsia="zh-TW"/>
        </w:rPr>
        <w:t>2021</w:t>
      </w:r>
      <w:r w:rsidRPr="0016620E">
        <w:rPr>
          <w:rFonts w:ascii="宋体" w:eastAsia="PMingLiU" w:hAnsi="宋体" w:cs="宋体" w:hint="eastAsia"/>
          <w:sz w:val="24"/>
          <w:szCs w:val="24"/>
          <w:lang w:eastAsia="zh-TW"/>
        </w:rPr>
        <w:t>年</w:t>
      </w:r>
      <w:r w:rsidRPr="0016620E">
        <w:rPr>
          <w:rFonts w:ascii="宋体" w:eastAsia="PMingLiU" w:hAnsi="宋体" w:cs="宋体"/>
          <w:sz w:val="24"/>
          <w:szCs w:val="24"/>
          <w:lang w:eastAsia="zh-TW"/>
        </w:rPr>
        <w:t>12</w:t>
      </w:r>
      <w:r w:rsidRPr="0016620E">
        <w:rPr>
          <w:rFonts w:ascii="宋体" w:eastAsia="PMingLiU" w:hAnsi="宋体" w:cs="宋体" w:hint="eastAsia"/>
          <w:sz w:val="24"/>
          <w:szCs w:val="24"/>
          <w:lang w:eastAsia="zh-TW"/>
        </w:rPr>
        <w:t>月</w:t>
      </w:r>
      <w:r w:rsidRPr="0016620E">
        <w:rPr>
          <w:rFonts w:ascii="宋体" w:eastAsia="PMingLiU" w:hAnsi="宋体" w:cs="宋体"/>
          <w:sz w:val="24"/>
          <w:szCs w:val="24"/>
          <w:lang w:eastAsia="zh-TW"/>
        </w:rPr>
        <w:t>22</w:t>
      </w:r>
      <w:r w:rsidRPr="0016620E">
        <w:rPr>
          <w:rFonts w:ascii="宋体" w:eastAsia="PMingLiU" w:hAnsi="宋体" w:cs="宋体" w:hint="eastAsia"/>
          <w:sz w:val="24"/>
          <w:szCs w:val="24"/>
          <w:lang w:eastAsia="zh-TW"/>
        </w:rPr>
        <w:t>日第十届董事會第十一次會議第二次修訂）</w:t>
      </w:r>
    </w:p>
    <w:p w:rsidR="0097330E" w:rsidRDefault="0016620E" w:rsidP="00AF2973">
      <w:pPr>
        <w:spacing w:line="520" w:lineRule="exact"/>
        <w:jc w:val="center"/>
        <w:rPr>
          <w:rFonts w:ascii="宋体" w:hAnsi="宋体" w:cs="宋体"/>
          <w:sz w:val="24"/>
          <w:szCs w:val="24"/>
        </w:rPr>
      </w:pPr>
      <w:r w:rsidRPr="0016620E">
        <w:rPr>
          <w:rFonts w:ascii="宋体" w:eastAsia="PMingLiU" w:hAnsi="宋体" w:cs="宋体" w:hint="eastAsia"/>
          <w:sz w:val="24"/>
          <w:szCs w:val="24"/>
          <w:lang w:eastAsia="zh-TW"/>
        </w:rPr>
        <w:t>（</w:t>
      </w:r>
      <w:r w:rsidRPr="0016620E">
        <w:rPr>
          <w:rFonts w:ascii="宋体" w:eastAsia="PMingLiU" w:hAnsi="宋体" w:cs="宋体"/>
          <w:sz w:val="24"/>
          <w:szCs w:val="24"/>
          <w:lang w:eastAsia="zh-TW"/>
        </w:rPr>
        <w:t>2022</w:t>
      </w:r>
      <w:r w:rsidRPr="0016620E">
        <w:rPr>
          <w:rFonts w:ascii="宋体" w:eastAsia="PMingLiU" w:hAnsi="宋体" w:cs="宋体" w:hint="eastAsia"/>
          <w:sz w:val="24"/>
          <w:szCs w:val="24"/>
          <w:lang w:eastAsia="zh-TW"/>
        </w:rPr>
        <w:t>年</w:t>
      </w:r>
      <w:r w:rsidRPr="0016620E">
        <w:rPr>
          <w:rFonts w:ascii="宋体" w:eastAsia="PMingLiU" w:hAnsi="宋体" w:cs="宋体"/>
          <w:sz w:val="24"/>
          <w:szCs w:val="24"/>
          <w:lang w:eastAsia="zh-TW"/>
        </w:rPr>
        <w:t>6</w:t>
      </w:r>
      <w:r w:rsidRPr="0016620E">
        <w:rPr>
          <w:rFonts w:ascii="宋体" w:eastAsia="PMingLiU" w:hAnsi="宋体" w:cs="宋体" w:hint="eastAsia"/>
          <w:sz w:val="24"/>
          <w:szCs w:val="24"/>
          <w:lang w:eastAsia="zh-TW"/>
        </w:rPr>
        <w:t>月</w:t>
      </w:r>
      <w:r w:rsidRPr="0016620E">
        <w:rPr>
          <w:rFonts w:ascii="宋体" w:eastAsia="PMingLiU" w:hAnsi="宋体" w:cs="宋体"/>
          <w:sz w:val="24"/>
          <w:szCs w:val="24"/>
          <w:lang w:eastAsia="zh-TW"/>
        </w:rPr>
        <w:t>23</w:t>
      </w:r>
      <w:r w:rsidRPr="0016620E">
        <w:rPr>
          <w:rFonts w:ascii="宋体" w:eastAsia="PMingLiU" w:hAnsi="宋体" w:cs="宋体" w:hint="eastAsia"/>
          <w:sz w:val="24"/>
          <w:szCs w:val="24"/>
          <w:lang w:eastAsia="zh-TW"/>
        </w:rPr>
        <w:t>日第十届董事會第十五次會議第三次修訂）</w:t>
      </w:r>
    </w:p>
    <w:p w:rsidR="0097330E" w:rsidRDefault="0016620E" w:rsidP="00AF2973">
      <w:pPr>
        <w:spacing w:line="520" w:lineRule="exact"/>
        <w:jc w:val="center"/>
        <w:rPr>
          <w:rFonts w:ascii="宋体" w:hAnsi="宋体" w:cs="宋体"/>
          <w:sz w:val="24"/>
          <w:szCs w:val="24"/>
        </w:rPr>
      </w:pPr>
      <w:r w:rsidRPr="0016620E">
        <w:rPr>
          <w:rFonts w:ascii="宋体" w:eastAsia="PMingLiU" w:hAnsi="宋体" w:cs="宋体" w:hint="eastAsia"/>
          <w:sz w:val="24"/>
          <w:szCs w:val="24"/>
          <w:lang w:eastAsia="zh-TW"/>
        </w:rPr>
        <w:t>（</w:t>
      </w:r>
      <w:r w:rsidRPr="0016620E">
        <w:rPr>
          <w:rFonts w:ascii="宋体" w:eastAsia="PMingLiU" w:hAnsi="宋体" w:cs="宋体"/>
          <w:sz w:val="24"/>
          <w:szCs w:val="24"/>
          <w:lang w:eastAsia="zh-TW"/>
        </w:rPr>
        <w:t>2024</w:t>
      </w:r>
      <w:r w:rsidRPr="0016620E">
        <w:rPr>
          <w:rFonts w:ascii="宋体" w:eastAsia="PMingLiU" w:hAnsi="宋体" w:cs="宋体" w:hint="eastAsia"/>
          <w:sz w:val="24"/>
          <w:szCs w:val="24"/>
          <w:lang w:eastAsia="zh-TW"/>
        </w:rPr>
        <w:t>年</w:t>
      </w:r>
      <w:r w:rsidRPr="0016620E">
        <w:rPr>
          <w:rFonts w:ascii="宋体" w:eastAsia="PMingLiU" w:hAnsi="宋体" w:cs="宋体"/>
          <w:sz w:val="24"/>
          <w:szCs w:val="24"/>
          <w:lang w:eastAsia="zh-TW"/>
        </w:rPr>
        <w:t>4</w:t>
      </w:r>
      <w:r w:rsidRPr="0016620E">
        <w:rPr>
          <w:rFonts w:ascii="宋体" w:eastAsia="PMingLiU" w:hAnsi="宋体" w:cs="宋体" w:hint="eastAsia"/>
          <w:sz w:val="24"/>
          <w:szCs w:val="24"/>
          <w:lang w:eastAsia="zh-TW"/>
        </w:rPr>
        <w:t>月</w:t>
      </w:r>
      <w:r w:rsidRPr="0016620E">
        <w:rPr>
          <w:rFonts w:ascii="宋体" w:eastAsia="PMingLiU" w:hAnsi="宋体" w:cs="宋体"/>
          <w:sz w:val="24"/>
          <w:szCs w:val="24"/>
          <w:lang w:eastAsia="zh-TW"/>
        </w:rPr>
        <w:t>25</w:t>
      </w:r>
      <w:r w:rsidRPr="0016620E">
        <w:rPr>
          <w:rFonts w:ascii="宋体" w:eastAsia="PMingLiU" w:hAnsi="宋体" w:cs="宋体" w:hint="eastAsia"/>
          <w:sz w:val="24"/>
          <w:szCs w:val="24"/>
          <w:lang w:eastAsia="zh-TW"/>
        </w:rPr>
        <w:t>日第十一届董事會第四次會議修訂）</w:t>
      </w:r>
    </w:p>
    <w:p w:rsidR="0097330E" w:rsidRDefault="0016620E" w:rsidP="001705C6">
      <w:pPr>
        <w:autoSpaceDE w:val="0"/>
        <w:autoSpaceDN w:val="0"/>
        <w:spacing w:beforeLines="100" w:before="312"/>
        <w:jc w:val="center"/>
        <w:rPr>
          <w:rFonts w:ascii="宋体" w:hAnsi="宋体"/>
          <w:b/>
          <w:bCs/>
          <w:color w:val="000000"/>
          <w:sz w:val="28"/>
          <w:szCs w:val="28"/>
        </w:rPr>
      </w:pPr>
      <w:r w:rsidRPr="0016620E">
        <w:rPr>
          <w:rFonts w:ascii="宋体" w:eastAsia="PMingLiU" w:hAnsi="宋体" w:hint="eastAsia"/>
          <w:b/>
          <w:bCs/>
          <w:color w:val="000000"/>
          <w:sz w:val="28"/>
          <w:szCs w:val="28"/>
          <w:lang w:eastAsia="zh-TW"/>
        </w:rPr>
        <w:t>第一章</w:t>
      </w:r>
      <w:r w:rsidRPr="0016620E">
        <w:rPr>
          <w:rFonts w:ascii="宋体" w:eastAsia="PMingLiU" w:hAnsi="宋体"/>
          <w:b/>
          <w:bCs/>
          <w:color w:val="000000"/>
          <w:sz w:val="28"/>
          <w:szCs w:val="28"/>
          <w:lang w:eastAsia="zh-TW"/>
        </w:rPr>
        <w:t xml:space="preserve">  </w:t>
      </w:r>
      <w:r w:rsidRPr="0016620E">
        <w:rPr>
          <w:rFonts w:ascii="宋体" w:eastAsia="PMingLiU" w:hAnsi="宋体" w:hint="eastAsia"/>
          <w:b/>
          <w:bCs/>
          <w:color w:val="000000"/>
          <w:sz w:val="28"/>
          <w:szCs w:val="28"/>
          <w:lang w:eastAsia="zh-TW"/>
        </w:rPr>
        <w:t>總則</w:t>
      </w:r>
      <w:r w:rsidR="000E1330">
        <w:rPr>
          <w:rFonts w:ascii="宋体" w:hAnsi="宋体" w:hint="eastAsia"/>
          <w:b/>
          <w:bCs/>
          <w:color w:val="000000"/>
          <w:sz w:val="28"/>
          <w:szCs w:val="28"/>
        </w:rPr>
        <w:t xml:space="preserve"> </w:t>
      </w:r>
    </w:p>
    <w:p w:rsidR="0097330E" w:rsidRDefault="0016620E" w:rsidP="001705C6">
      <w:pPr>
        <w:pStyle w:val="content"/>
        <w:spacing w:beforeLines="50" w:before="156" w:line="520" w:lineRule="exact"/>
        <w:ind w:firstLine="540"/>
        <w:jc w:val="both"/>
        <w:rPr>
          <w:kern w:val="2"/>
          <w:szCs w:val="24"/>
        </w:rPr>
      </w:pPr>
      <w:r w:rsidRPr="0016620E">
        <w:rPr>
          <w:rFonts w:eastAsia="PMingLiU" w:hint="eastAsia"/>
          <w:b/>
          <w:kern w:val="2"/>
          <w:szCs w:val="24"/>
          <w:lang w:eastAsia="zh-TW"/>
        </w:rPr>
        <w:t>第一條</w:t>
      </w:r>
      <w:r w:rsidRPr="0016620E">
        <w:rPr>
          <w:rFonts w:eastAsia="PMingLiU"/>
          <w:kern w:val="2"/>
          <w:szCs w:val="24"/>
          <w:lang w:eastAsia="zh-TW"/>
        </w:rPr>
        <w:t xml:space="preserve">  </w:t>
      </w:r>
      <w:r w:rsidRPr="0016620E">
        <w:rPr>
          <w:rFonts w:eastAsia="PMingLiU" w:hint="eastAsia"/>
          <w:kern w:val="2"/>
          <w:szCs w:val="24"/>
          <w:lang w:eastAsia="zh-TW"/>
        </w:rPr>
        <w:t>爲强化中船海洋與防務裝備股份有限公司（以下簡稱“本公司”）董事會决策的科學性，提高决策水平，做到事前審計、專業審計，確保董事會對管理層的有效監督，完善本公司治理結構，根據《中華人民共和國公司法》《上市公司治理準則》、公司股票上市所在地證券交易所各自的上市規則（以下簡稱“上市規則”）、《上海證券交易所上市公司自律監管指引第</w:t>
      </w:r>
      <w:r w:rsidRPr="0016620E">
        <w:rPr>
          <w:rFonts w:eastAsia="PMingLiU"/>
          <w:kern w:val="2"/>
          <w:szCs w:val="24"/>
          <w:lang w:eastAsia="zh-TW"/>
        </w:rPr>
        <w:t>1</w:t>
      </w:r>
      <w:r w:rsidRPr="0016620E">
        <w:rPr>
          <w:rFonts w:eastAsia="PMingLiU" w:hint="eastAsia"/>
          <w:kern w:val="2"/>
          <w:szCs w:val="24"/>
          <w:lang w:eastAsia="zh-TW"/>
        </w:rPr>
        <w:t>號——規範運作》《公司章程》及其他有關規定，本公司設立董事會審計委員會，幷制定本《審計委員會實施細則》，（以下簡稱“本實施細則”）。</w:t>
      </w:r>
      <w:r w:rsidR="000E1330">
        <w:rPr>
          <w:rFonts w:hint="eastAsia"/>
          <w:kern w:val="2"/>
          <w:szCs w:val="24"/>
        </w:rPr>
        <w:t xml:space="preserve"> </w:t>
      </w:r>
    </w:p>
    <w:p w:rsidR="0097330E" w:rsidRDefault="0016620E" w:rsidP="001705C6">
      <w:pPr>
        <w:autoSpaceDE w:val="0"/>
        <w:autoSpaceDN w:val="0"/>
        <w:spacing w:beforeLines="50" w:before="156" w:line="520" w:lineRule="exact"/>
        <w:ind w:firstLine="540"/>
        <w:rPr>
          <w:rFonts w:ascii="宋体" w:hAnsi="宋体"/>
          <w:sz w:val="24"/>
          <w:szCs w:val="24"/>
        </w:rPr>
      </w:pPr>
      <w:r w:rsidRPr="0016620E">
        <w:rPr>
          <w:rFonts w:ascii="宋体" w:eastAsia="PMingLiU" w:hAnsi="宋体" w:hint="eastAsia"/>
          <w:b/>
          <w:sz w:val="24"/>
          <w:szCs w:val="24"/>
          <w:lang w:eastAsia="zh-TW"/>
        </w:rPr>
        <w:t>第二條</w:t>
      </w:r>
      <w:r w:rsidRPr="0016620E">
        <w:rPr>
          <w:rFonts w:ascii="宋体" w:eastAsia="PMingLiU" w:hAnsi="宋体"/>
          <w:sz w:val="24"/>
          <w:szCs w:val="24"/>
          <w:lang w:eastAsia="zh-TW"/>
        </w:rPr>
        <w:t xml:space="preserve">  </w:t>
      </w:r>
      <w:r w:rsidRPr="0016620E">
        <w:rPr>
          <w:rFonts w:ascii="宋体" w:eastAsia="PMingLiU" w:hAnsi="宋体" w:hint="eastAsia"/>
          <w:sz w:val="24"/>
          <w:szCs w:val="24"/>
          <w:lang w:eastAsia="zh-TW"/>
        </w:rPr>
        <w:t>董事會審計委員會是董事會設立的專門工作機構，主要職能是協助董事會獨立地審查公司財務狀况、內部控制及風險管理制度的執行情况及效果，與內部審計部門和外部審計機構的獨立溝通、監督和核查，以及審議監督公司環境、社會及管治事宜。</w:t>
      </w:r>
      <w:r w:rsidR="000E1330">
        <w:rPr>
          <w:rFonts w:ascii="宋体" w:hAnsi="宋体" w:hint="eastAsia"/>
          <w:sz w:val="24"/>
          <w:szCs w:val="24"/>
        </w:rPr>
        <w:t xml:space="preserve"> </w:t>
      </w:r>
    </w:p>
    <w:p w:rsidR="0097330E" w:rsidRDefault="0016620E" w:rsidP="001705C6">
      <w:pPr>
        <w:autoSpaceDE w:val="0"/>
        <w:autoSpaceDN w:val="0"/>
        <w:spacing w:beforeLines="100" w:before="312"/>
        <w:jc w:val="center"/>
        <w:rPr>
          <w:rFonts w:ascii="宋体" w:hAnsi="宋体"/>
          <w:b/>
          <w:bCs/>
          <w:color w:val="000000"/>
          <w:sz w:val="28"/>
          <w:szCs w:val="28"/>
        </w:rPr>
      </w:pPr>
      <w:r w:rsidRPr="0016620E">
        <w:rPr>
          <w:rFonts w:ascii="宋体" w:eastAsia="PMingLiU" w:hAnsi="宋体" w:hint="eastAsia"/>
          <w:b/>
          <w:bCs/>
          <w:color w:val="000000"/>
          <w:sz w:val="28"/>
          <w:szCs w:val="28"/>
          <w:lang w:eastAsia="zh-TW"/>
        </w:rPr>
        <w:t>第二章</w:t>
      </w:r>
      <w:r w:rsidRPr="0016620E">
        <w:rPr>
          <w:rFonts w:ascii="宋体" w:eastAsia="PMingLiU" w:hAnsi="宋体"/>
          <w:b/>
          <w:bCs/>
          <w:color w:val="000000"/>
          <w:sz w:val="28"/>
          <w:szCs w:val="28"/>
          <w:lang w:eastAsia="zh-TW"/>
        </w:rPr>
        <w:t xml:space="preserve">  </w:t>
      </w:r>
      <w:r w:rsidRPr="0016620E">
        <w:rPr>
          <w:rFonts w:ascii="宋体" w:eastAsia="PMingLiU" w:hAnsi="宋体" w:hint="eastAsia"/>
          <w:b/>
          <w:bCs/>
          <w:color w:val="000000"/>
          <w:sz w:val="28"/>
          <w:szCs w:val="28"/>
          <w:lang w:eastAsia="zh-TW"/>
        </w:rPr>
        <w:t>人員組成</w:t>
      </w:r>
      <w:r w:rsidR="000E1330">
        <w:rPr>
          <w:rFonts w:ascii="宋体" w:hAnsi="宋体" w:hint="eastAsia"/>
          <w:b/>
          <w:bCs/>
          <w:color w:val="000000"/>
          <w:sz w:val="28"/>
          <w:szCs w:val="28"/>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第三條</w:t>
      </w:r>
      <w:r w:rsidRPr="0016620E">
        <w:rPr>
          <w:rFonts w:ascii="宋体" w:eastAsia="PMingLiU" w:hAnsi="宋体"/>
          <w:sz w:val="24"/>
          <w:szCs w:val="24"/>
          <w:lang w:eastAsia="zh-TW"/>
        </w:rPr>
        <w:t xml:space="preserve">  </w:t>
      </w:r>
      <w:r w:rsidRPr="0016620E">
        <w:rPr>
          <w:rFonts w:ascii="宋体" w:eastAsia="PMingLiU" w:hAnsi="宋体" w:hint="eastAsia"/>
          <w:sz w:val="24"/>
          <w:szCs w:val="24"/>
          <w:lang w:eastAsia="zh-TW"/>
        </w:rPr>
        <w:t>審計委員會由三名非執行董事組成，其中獨立非執行董事至少兩名，且至少有一名獨立非執行董事爲會計專業人士。</w:t>
      </w:r>
      <w:r w:rsidR="000E1330">
        <w:rPr>
          <w:rFonts w:ascii="宋体" w:hAnsi="宋体" w:hint="eastAsia"/>
          <w:sz w:val="24"/>
          <w:szCs w:val="24"/>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第四條</w:t>
      </w:r>
      <w:r w:rsidRPr="0016620E">
        <w:rPr>
          <w:rFonts w:ascii="宋体" w:eastAsia="PMingLiU" w:hAnsi="宋体"/>
          <w:sz w:val="24"/>
          <w:szCs w:val="24"/>
          <w:lang w:eastAsia="zh-TW"/>
        </w:rPr>
        <w:t xml:space="preserve">  </w:t>
      </w:r>
      <w:r w:rsidRPr="0016620E">
        <w:rPr>
          <w:rFonts w:ascii="宋体" w:eastAsia="PMingLiU" w:hAnsi="宋体" w:hint="eastAsia"/>
          <w:sz w:val="24"/>
          <w:szCs w:val="24"/>
          <w:lang w:eastAsia="zh-TW"/>
        </w:rPr>
        <w:t>審計委員會委員由董事長、二分之一以上獨立非執行董事或者全體</w:t>
      </w:r>
      <w:r w:rsidRPr="0016620E">
        <w:rPr>
          <w:rFonts w:ascii="宋体" w:eastAsia="PMingLiU" w:hAnsi="宋体" w:hint="eastAsia"/>
          <w:sz w:val="24"/>
          <w:szCs w:val="24"/>
          <w:lang w:eastAsia="zh-TW"/>
        </w:rPr>
        <w:lastRenderedPageBreak/>
        <w:t>董事的三分之一提名，幷由董事會選舉産生。</w:t>
      </w:r>
      <w:r w:rsidR="000E1330">
        <w:rPr>
          <w:rFonts w:ascii="宋体" w:hAnsi="宋体" w:hint="eastAsia"/>
          <w:sz w:val="24"/>
          <w:szCs w:val="24"/>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第五條</w:t>
      </w:r>
      <w:r w:rsidRPr="0016620E">
        <w:rPr>
          <w:rFonts w:ascii="宋体" w:eastAsia="PMingLiU" w:hAnsi="宋体"/>
          <w:b/>
          <w:sz w:val="24"/>
          <w:szCs w:val="24"/>
          <w:lang w:eastAsia="zh-TW"/>
        </w:rPr>
        <w:t xml:space="preserve"> </w:t>
      </w:r>
      <w:r w:rsidRPr="0016620E">
        <w:rPr>
          <w:rFonts w:ascii="宋体" w:eastAsia="PMingLiU" w:hAnsi="宋体"/>
          <w:sz w:val="24"/>
          <w:szCs w:val="24"/>
          <w:lang w:eastAsia="zh-TW"/>
        </w:rPr>
        <w:t xml:space="preserve"> </w:t>
      </w:r>
      <w:r w:rsidRPr="0016620E">
        <w:rPr>
          <w:rFonts w:ascii="宋体" w:eastAsia="PMingLiU" w:hAnsi="宋体" w:hint="eastAsia"/>
          <w:sz w:val="24"/>
          <w:szCs w:val="24"/>
          <w:lang w:eastAsia="zh-TW"/>
        </w:rPr>
        <w:t>審計委員會設主任委員（召集人）一名，由具有專業會計資質的獨立非執行董事委員擔任，負責主持委員會工作；主任委員在獨立非執行董事的委員內由審計委員會選舉産生，幷報請董事會批准。</w:t>
      </w:r>
    </w:p>
    <w:p w:rsidR="0097330E" w:rsidRDefault="0016620E" w:rsidP="0016620E">
      <w:pPr>
        <w:spacing w:beforeLines="50" w:before="156" w:line="520" w:lineRule="exact"/>
        <w:ind w:firstLineChars="200" w:firstLine="480"/>
        <w:jc w:val="left"/>
        <w:rPr>
          <w:rFonts w:ascii="宋体" w:hAnsi="宋体"/>
          <w:sz w:val="24"/>
          <w:szCs w:val="24"/>
          <w:lang w:eastAsia="zh-TW"/>
        </w:rPr>
      </w:pPr>
      <w:r w:rsidRPr="0016620E">
        <w:rPr>
          <w:rFonts w:ascii="宋体" w:eastAsia="PMingLiU" w:hAnsi="宋体" w:hint="eastAsia"/>
          <w:b/>
          <w:sz w:val="24"/>
          <w:szCs w:val="24"/>
          <w:lang w:eastAsia="zh-TW"/>
        </w:rPr>
        <w:t>第六條</w:t>
      </w:r>
      <w:r w:rsidRPr="0016620E">
        <w:rPr>
          <w:rFonts w:ascii="宋体" w:eastAsia="PMingLiU" w:hAnsi="宋体"/>
          <w:b/>
          <w:sz w:val="24"/>
          <w:szCs w:val="24"/>
          <w:lang w:eastAsia="zh-TW"/>
        </w:rPr>
        <w:t xml:space="preserve"> </w:t>
      </w:r>
      <w:r w:rsidRPr="0016620E">
        <w:rPr>
          <w:rFonts w:ascii="宋体" w:eastAsia="PMingLiU" w:hAnsi="宋体"/>
          <w:sz w:val="24"/>
          <w:szCs w:val="24"/>
          <w:lang w:eastAsia="zh-TW"/>
        </w:rPr>
        <w:t xml:space="preserve"> </w:t>
      </w:r>
      <w:r w:rsidRPr="0016620E">
        <w:rPr>
          <w:rFonts w:ascii="宋体" w:eastAsia="PMingLiU" w:hAnsi="宋体" w:hint="eastAsia"/>
          <w:sz w:val="24"/>
          <w:szCs w:val="24"/>
          <w:lang w:eastAsia="zh-TW"/>
        </w:rPr>
        <w:t>審計委員會委員的任期與董事任期一致，委員任期届滿，連選可以連任。期間如有委員不再擔任本公司董事職務，則自動失去委員資格，幷由董事會根據上述第三至第五條規定補足委員人數。</w:t>
      </w:r>
      <w:r w:rsidR="000E1330">
        <w:rPr>
          <w:rFonts w:ascii="宋体" w:hAnsi="宋体" w:hint="eastAsia"/>
          <w:sz w:val="24"/>
          <w:szCs w:val="24"/>
          <w:lang w:eastAsia="zh-TW"/>
        </w:rPr>
        <w:t xml:space="preserve"> </w:t>
      </w:r>
    </w:p>
    <w:p w:rsidR="0097330E" w:rsidRDefault="0016620E" w:rsidP="0016620E">
      <w:pPr>
        <w:spacing w:beforeLines="50" w:before="156" w:line="520" w:lineRule="exact"/>
        <w:ind w:firstLineChars="200" w:firstLine="480"/>
        <w:jc w:val="left"/>
        <w:rPr>
          <w:rFonts w:ascii="宋体" w:hAnsi="宋体"/>
          <w:sz w:val="24"/>
          <w:szCs w:val="24"/>
          <w:highlight w:val="yellow"/>
          <w:lang w:eastAsia="zh-TW"/>
        </w:rPr>
      </w:pPr>
      <w:r w:rsidRPr="0016620E">
        <w:rPr>
          <w:rFonts w:ascii="宋体" w:eastAsia="PMingLiU" w:hAnsi="宋体" w:hint="eastAsia"/>
          <w:b/>
          <w:sz w:val="24"/>
          <w:szCs w:val="24"/>
          <w:lang w:eastAsia="zh-TW"/>
        </w:rPr>
        <w:t>第七條</w:t>
      </w:r>
      <w:r w:rsidRPr="0016620E">
        <w:rPr>
          <w:rFonts w:ascii="宋体" w:eastAsia="PMingLiU" w:hAnsi="宋体"/>
          <w:b/>
          <w:sz w:val="24"/>
          <w:szCs w:val="24"/>
          <w:lang w:eastAsia="zh-TW"/>
        </w:rPr>
        <w:t xml:space="preserve"> </w:t>
      </w:r>
      <w:r w:rsidRPr="0016620E">
        <w:rPr>
          <w:rFonts w:ascii="宋体" w:eastAsia="PMingLiU" w:hAnsi="宋体" w:hint="eastAsia"/>
          <w:sz w:val="24"/>
          <w:szCs w:val="24"/>
          <w:lang w:eastAsia="zh-TW"/>
        </w:rPr>
        <w:t>本公司設立審計委員會工作小組，承擔審計委員會的工作聯絡、會議組織、材料準備和檔案管理等日常工作。審計委員會履行職責時，公司管理層及相關部門應當給予配合。</w:t>
      </w:r>
    </w:p>
    <w:p w:rsidR="0097330E" w:rsidRDefault="0016620E" w:rsidP="001705C6">
      <w:pPr>
        <w:autoSpaceDE w:val="0"/>
        <w:autoSpaceDN w:val="0"/>
        <w:spacing w:beforeLines="100" w:before="312"/>
        <w:jc w:val="center"/>
        <w:rPr>
          <w:rFonts w:ascii="宋体" w:hAnsi="宋体"/>
          <w:b/>
          <w:bCs/>
          <w:color w:val="000000"/>
          <w:sz w:val="28"/>
          <w:szCs w:val="28"/>
          <w:lang w:eastAsia="zh-TW"/>
        </w:rPr>
      </w:pPr>
      <w:r w:rsidRPr="0016620E">
        <w:rPr>
          <w:rFonts w:ascii="宋体" w:eastAsia="PMingLiU" w:hAnsi="宋体" w:hint="eastAsia"/>
          <w:b/>
          <w:bCs/>
          <w:color w:val="000000"/>
          <w:sz w:val="28"/>
          <w:szCs w:val="28"/>
          <w:lang w:eastAsia="zh-TW"/>
        </w:rPr>
        <w:t>第三章</w:t>
      </w:r>
      <w:r w:rsidRPr="0016620E">
        <w:rPr>
          <w:rFonts w:ascii="宋体" w:eastAsia="PMingLiU" w:hAnsi="宋体"/>
          <w:b/>
          <w:bCs/>
          <w:color w:val="000000"/>
          <w:sz w:val="28"/>
          <w:szCs w:val="28"/>
          <w:lang w:eastAsia="zh-TW"/>
        </w:rPr>
        <w:t xml:space="preserve">  </w:t>
      </w:r>
      <w:r w:rsidRPr="0016620E">
        <w:rPr>
          <w:rFonts w:ascii="宋体" w:eastAsia="PMingLiU" w:hAnsi="宋体" w:hint="eastAsia"/>
          <w:b/>
          <w:bCs/>
          <w:color w:val="000000"/>
          <w:sz w:val="28"/>
          <w:szCs w:val="28"/>
          <w:lang w:eastAsia="zh-TW"/>
        </w:rPr>
        <w:t>職責權限與履職方式</w:t>
      </w:r>
    </w:p>
    <w:p w:rsidR="0097330E" w:rsidRDefault="0016620E" w:rsidP="0016620E">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b/>
          <w:sz w:val="24"/>
          <w:szCs w:val="24"/>
          <w:lang w:eastAsia="zh-TW"/>
        </w:rPr>
        <w:t>第八條</w:t>
      </w:r>
      <w:r w:rsidRPr="0016620E">
        <w:rPr>
          <w:rFonts w:eastAsia="PMingLiU"/>
          <w:szCs w:val="24"/>
          <w:lang w:eastAsia="zh-TW"/>
        </w:rPr>
        <w:t xml:space="preserve">  </w:t>
      </w:r>
      <w:r w:rsidRPr="0016620E">
        <w:rPr>
          <w:rFonts w:ascii="宋体" w:eastAsia="PMingLiU" w:hAnsi="宋体" w:hint="eastAsia"/>
          <w:color w:val="000000"/>
          <w:kern w:val="0"/>
          <w:sz w:val="24"/>
          <w:szCs w:val="24"/>
          <w:lang w:eastAsia="zh-TW"/>
        </w:rPr>
        <w:t>董事會審計委員會應當履行下列職責：</w:t>
      </w:r>
    </w:p>
    <w:p w:rsidR="0097330E" w:rsidRDefault="0016620E" w:rsidP="0016620E">
      <w:pPr>
        <w:spacing w:beforeLines="50" w:before="156" w:line="520" w:lineRule="exact"/>
        <w:ind w:firstLineChars="200" w:firstLine="480"/>
        <w:jc w:val="left"/>
        <w:rPr>
          <w:rFonts w:ascii="宋体" w:hAnsi="宋体"/>
          <w:b/>
          <w:sz w:val="24"/>
          <w:szCs w:val="24"/>
        </w:rPr>
      </w:pPr>
      <w:r w:rsidRPr="0016620E">
        <w:rPr>
          <w:rFonts w:ascii="宋体" w:eastAsia="PMingLiU" w:hAnsi="宋体" w:hint="eastAsia"/>
          <w:b/>
          <w:sz w:val="24"/>
          <w:szCs w:val="24"/>
          <w:lang w:eastAsia="zh-TW"/>
        </w:rPr>
        <w:t>一、選聘外部審計機構及監督、評估外部審計機構工作，主要包括：</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（一）按照董事會的授權制定選聘會計師事務所的政策、流程及相關內部控制制度；</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（二）提議啓動選聘會計師事務所相關工作；</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（三）審議選聘文件，確定評價要素和具體評分標準，監督選聘過程；</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（四）提出擬選聘會計師事務所及審計費用的建議，提交决策機構决定</w:t>
      </w:r>
      <w:r w:rsidRPr="0016620E">
        <w:rPr>
          <w:rFonts w:ascii="宋体" w:eastAsia="PMingLiU" w:hAnsi="宋体"/>
          <w:sz w:val="24"/>
          <w:szCs w:val="24"/>
          <w:lang w:eastAsia="zh-TW"/>
        </w:rPr>
        <w:t>,</w:t>
      </w:r>
      <w:r w:rsidRPr="0016620E">
        <w:rPr>
          <w:rFonts w:ascii="宋体" w:eastAsia="PMingLiU" w:hAnsi="宋体" w:hint="eastAsia"/>
          <w:sz w:val="24"/>
          <w:szCs w:val="24"/>
          <w:lang w:eastAsia="zh-TW"/>
        </w:rPr>
        <w:t>當中包括負責就會計師事務所的委任、重新委任及罷免向董事會提供建議、批准會計師事務所的薪酬及聘用條款，及處理任何有關會計師事務所辭職或辭退會計師事務所的問題；</w:t>
      </w:r>
    </w:p>
    <w:p w:rsidR="0097330E" w:rsidRDefault="0016620E" w:rsidP="001705C6">
      <w:pPr>
        <w:spacing w:beforeLines="50" w:before="156" w:line="520" w:lineRule="exact"/>
        <w:ind w:firstLineChars="200" w:firstLine="480"/>
        <w:jc w:val="left"/>
        <w:rPr>
          <w:rFonts w:ascii="宋体" w:hAnsi="宋体"/>
          <w:sz w:val="24"/>
          <w:szCs w:val="24"/>
          <w:lang w:eastAsia="zh-TW"/>
        </w:rPr>
      </w:pPr>
      <w:r w:rsidRPr="0016620E">
        <w:rPr>
          <w:rFonts w:ascii="宋体" w:eastAsia="PMingLiU" w:hAnsi="宋体" w:hint="eastAsia"/>
          <w:sz w:val="24"/>
          <w:szCs w:val="24"/>
          <w:lang w:eastAsia="zh-TW"/>
        </w:rPr>
        <w:t>（五）監督及評估會計師事務所審計工作</w:t>
      </w:r>
      <w:r w:rsidRPr="0016620E">
        <w:rPr>
          <w:rFonts w:ascii="宋体" w:eastAsia="PMingLiU" w:hAnsi="宋体"/>
          <w:sz w:val="24"/>
          <w:szCs w:val="24"/>
          <w:lang w:eastAsia="zh-TW"/>
        </w:rPr>
        <w:t>,</w:t>
      </w:r>
      <w:r w:rsidRPr="0016620E">
        <w:rPr>
          <w:rFonts w:ascii="宋体" w:eastAsia="PMingLiU" w:hAnsi="宋体" w:hint="eastAsia"/>
          <w:sz w:val="24"/>
          <w:szCs w:val="24"/>
          <w:lang w:eastAsia="zh-TW"/>
        </w:rPr>
        <w:t>包括按適用的標準檢討及監察會計師事務所是否獨立客觀及核數程序是否有效。審計委員會應于核數工作開始前</w:t>
      </w:r>
      <w:r w:rsidRPr="0016620E">
        <w:rPr>
          <w:rFonts w:ascii="宋体" w:eastAsia="PMingLiU" w:hAnsi="宋体" w:hint="eastAsia"/>
          <w:sz w:val="24"/>
          <w:szCs w:val="24"/>
          <w:lang w:eastAsia="zh-TW"/>
        </w:rPr>
        <w:lastRenderedPageBreak/>
        <w:t>先與會計師事務所討論核數性質及範疇及有關彙報責任，幷就會計師事務所提供非核數服務制定政策，幷予以執行；</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（六）定期（至少每年）向董事會提交對受聘會計師事務所的履職情况評估報告及審計委員會履行監督職責情况報告</w:t>
      </w:r>
      <w:r w:rsidRPr="0016620E">
        <w:rPr>
          <w:rFonts w:ascii="宋体" w:eastAsia="PMingLiU" w:hAnsi="宋体"/>
          <w:sz w:val="24"/>
          <w:szCs w:val="24"/>
          <w:lang w:eastAsia="zh-TW"/>
        </w:rPr>
        <w:t>,</w:t>
      </w:r>
      <w:r w:rsidRPr="0016620E">
        <w:rPr>
          <w:rFonts w:ascii="宋体" w:eastAsia="PMingLiU" w:hAnsi="宋体" w:hint="eastAsia"/>
          <w:sz w:val="24"/>
          <w:szCs w:val="24"/>
          <w:lang w:eastAsia="zh-TW"/>
        </w:rPr>
        <w:t>就任何須采取行動或改善的事項向董事會報告幷提出建議；</w:t>
      </w:r>
    </w:p>
    <w:p w:rsidR="0097330E" w:rsidRDefault="0016620E" w:rsidP="0016620E">
      <w:pPr>
        <w:spacing w:beforeLines="50" w:before="156" w:line="520" w:lineRule="exact"/>
        <w:ind w:firstLineChars="200" w:firstLine="480"/>
        <w:jc w:val="left"/>
        <w:rPr>
          <w:rFonts w:ascii="宋体" w:hAnsi="宋体"/>
          <w:b/>
          <w:sz w:val="24"/>
          <w:szCs w:val="24"/>
        </w:rPr>
      </w:pPr>
      <w:r w:rsidRPr="0016620E">
        <w:rPr>
          <w:rFonts w:ascii="宋体" w:eastAsia="PMingLiU" w:hAnsi="宋体" w:hint="eastAsia"/>
          <w:b/>
          <w:sz w:val="24"/>
          <w:szCs w:val="24"/>
          <w:lang w:eastAsia="zh-TW"/>
        </w:rPr>
        <w:t>二、審核本公司的財務信息及其披露，主要包括：</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監察本公司的財務報表（包括其披露）以及年度報告及帳目、半年度報告及（若擬刊發）季度報告的完整性，幷審閱報表及報告所載有關財務申報的重大意見，幷</w:t>
      </w:r>
      <w:r w:rsidRPr="0016620E">
        <w:rPr>
          <w:rFonts w:ascii="宋体" w:eastAsia="PMingLiU" w:hAnsi="宋体" w:hint="eastAsia"/>
          <w:color w:val="000000"/>
          <w:kern w:val="0"/>
          <w:sz w:val="24"/>
          <w:szCs w:val="24"/>
          <w:lang w:eastAsia="zh-TW"/>
        </w:rPr>
        <w:t>對財務會計報告的真實性、準確性和完整性提出意見；</w:t>
      </w:r>
      <w:r w:rsidRPr="0016620E">
        <w:rPr>
          <w:rFonts w:ascii="宋体" w:eastAsia="PMingLiU" w:hAnsi="宋体" w:hint="eastAsia"/>
          <w:sz w:val="24"/>
          <w:szCs w:val="24"/>
          <w:lang w:eastAsia="zh-TW"/>
        </w:rPr>
        <w:t>審計委員會在向董事會提交有關報表及報告前，應特別針對下列事項加以審閱：</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（一）本公司財務會計報告的重大會計和審計問題，包括但不限于會計政策及實務的任何更改；涉及重要判斷的事項；因審計而出現的重大調整；</w:t>
      </w:r>
      <w:r w:rsidR="000E1330">
        <w:rPr>
          <w:rFonts w:ascii="宋体" w:hAnsi="宋体" w:hint="eastAsia"/>
          <w:sz w:val="24"/>
          <w:szCs w:val="24"/>
        </w:rPr>
        <w:t xml:space="preserve"> </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（二）企業持續經營的假設及任何保留意見；</w:t>
      </w:r>
      <w:r w:rsidR="000E1330">
        <w:rPr>
          <w:rFonts w:ascii="宋体" w:hAnsi="宋体"/>
          <w:sz w:val="24"/>
          <w:szCs w:val="24"/>
        </w:rPr>
        <w:t xml:space="preserve"> </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（三）是否遵守會計準則；</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（四）是否遵守《香港聯合交易所有限公司證券上市規則》有關財務申報的法律規定；</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（五）特別關注是否存在與財務會計報告相關的欺詐、舞弊行爲及重大錯報的可能性。</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爲履行上述職責，審計委員會成員應與董事會及高級管理人員聯絡。審計委員會須至少每年與本公司的外部審計機構開會兩次；審計委員會應考慮于該等報告及帳目中所反映或需反映的任何重大或不尋常事項，幷應適當考慮參考任何由本公司財務人員、內部審計人員或外部審計機構提出的事項。</w:t>
      </w:r>
    </w:p>
    <w:p w:rsidR="0097330E" w:rsidRDefault="0016620E" w:rsidP="0016620E">
      <w:pPr>
        <w:spacing w:beforeLines="50" w:before="156" w:line="520" w:lineRule="exact"/>
        <w:ind w:firstLineChars="200" w:firstLine="480"/>
        <w:jc w:val="left"/>
        <w:rPr>
          <w:rFonts w:ascii="宋体" w:hAnsi="宋体"/>
          <w:b/>
          <w:sz w:val="24"/>
          <w:szCs w:val="24"/>
        </w:rPr>
      </w:pPr>
      <w:r w:rsidRPr="0016620E">
        <w:rPr>
          <w:rFonts w:ascii="宋体" w:eastAsia="PMingLiU" w:hAnsi="宋体" w:hint="eastAsia"/>
          <w:b/>
          <w:sz w:val="24"/>
          <w:szCs w:val="24"/>
          <w:lang w:eastAsia="zh-TW"/>
        </w:rPr>
        <w:t>三、監督及評估內部審計工作，主要包括</w:t>
      </w:r>
      <w:r w:rsidRPr="0016620E">
        <w:rPr>
          <w:rFonts w:ascii="宋体" w:eastAsia="PMingLiU" w:hAnsi="宋体" w:hint="eastAsia"/>
          <w:b/>
          <w:color w:val="000000"/>
          <w:kern w:val="0"/>
          <w:sz w:val="24"/>
          <w:szCs w:val="24"/>
          <w:lang w:eastAsia="zh-TW"/>
        </w:rPr>
        <w:t>：</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lastRenderedPageBreak/>
        <w:t>（一）指導和監督內部審計制度的建立和實施；</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（二）審閱本公司年度內部審計工作計劃；</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（三）督促本公司內部審計計劃的實施；</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（四）指導內部審計部門的有效運作，本公司內部審計部門應當向審計委員會報告工作，內部審計部門提交給管理層的各類審計報告、審計問題的整改計劃和整改情况應當同時報送審計委員會；</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（五）向董事會報告內部審計工作進度、質量以及發現的重大問題等；</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（六）協調內部審計部門與會計師事務所、國家審計機構等外部審計單位之間的關係。</w:t>
      </w:r>
    </w:p>
    <w:p w:rsidR="0097330E" w:rsidRDefault="0016620E" w:rsidP="0016620E">
      <w:pPr>
        <w:spacing w:beforeLines="50" w:before="156" w:line="520" w:lineRule="exact"/>
        <w:ind w:firstLineChars="200" w:firstLine="480"/>
        <w:jc w:val="left"/>
        <w:rPr>
          <w:rFonts w:ascii="宋体" w:hAnsi="宋体"/>
          <w:b/>
          <w:sz w:val="24"/>
          <w:szCs w:val="24"/>
        </w:rPr>
      </w:pPr>
      <w:r w:rsidRPr="0016620E">
        <w:rPr>
          <w:rFonts w:ascii="宋体" w:eastAsia="PMingLiU" w:hAnsi="宋体" w:hint="eastAsia"/>
          <w:b/>
          <w:sz w:val="24"/>
          <w:szCs w:val="24"/>
          <w:lang w:eastAsia="zh-TW"/>
        </w:rPr>
        <w:t>四、評估內部控制的有效性工作，主要包括：</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（一）檢討及審查本公司的財務監控、內部控制、內部審計及風險管理制度；</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二）與管理層討論風險管理及內部監控系統，確保管理層已履行職責建立有效的內部控制及審計系統。討論內容應包括本公司在會計及財務彙報職能方面的資源、員工資歷及經驗是否足够，以及員工所接受的培訓課程及有關預算是否充足；</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（三）主動或應董事會的委派，就有關風險管理、內部控制及審計事宜的重要調查結果及管理層對調查結果的回應進行研究。</w:t>
      </w:r>
    </w:p>
    <w:p w:rsidR="0097330E" w:rsidRDefault="0016620E" w:rsidP="0016620E">
      <w:pPr>
        <w:spacing w:beforeLines="50" w:before="156" w:line="520" w:lineRule="exact"/>
        <w:ind w:firstLineChars="200" w:firstLine="480"/>
        <w:jc w:val="left"/>
        <w:rPr>
          <w:rFonts w:ascii="宋体" w:hAnsi="宋体"/>
          <w:b/>
          <w:color w:val="000000"/>
          <w:kern w:val="0"/>
          <w:sz w:val="24"/>
          <w:szCs w:val="24"/>
        </w:rPr>
      </w:pPr>
      <w:r w:rsidRPr="0016620E">
        <w:rPr>
          <w:rFonts w:ascii="宋体" w:eastAsia="PMingLiU" w:hAnsi="宋体" w:hint="eastAsia"/>
          <w:b/>
          <w:sz w:val="24"/>
          <w:szCs w:val="24"/>
          <w:lang w:eastAsia="zh-TW"/>
        </w:rPr>
        <w:t>五、</w:t>
      </w:r>
      <w:r w:rsidRPr="0016620E">
        <w:rPr>
          <w:rFonts w:ascii="宋体" w:eastAsia="PMingLiU" w:hAnsi="宋体" w:hint="eastAsia"/>
          <w:b/>
          <w:color w:val="000000"/>
          <w:kern w:val="0"/>
          <w:sz w:val="24"/>
          <w:szCs w:val="24"/>
          <w:lang w:eastAsia="zh-TW"/>
        </w:rPr>
        <w:t>協調管理層、內部審計部門及相關部門與外部審計機構的溝通，主要包括：</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（一）擔任本公司與外部審計機構之間的主要代表，負責監察兩者之間的關係</w:t>
      </w:r>
      <w:r w:rsidRPr="0016620E">
        <w:rPr>
          <w:rFonts w:ascii="宋体" w:eastAsia="PMingLiU" w:hAnsi="宋体"/>
          <w:sz w:val="24"/>
          <w:szCs w:val="24"/>
          <w:lang w:eastAsia="zh-TW"/>
        </w:rPr>
        <w:t>;</w:t>
      </w:r>
      <w:r w:rsidRPr="0016620E">
        <w:rPr>
          <w:rFonts w:ascii="宋体" w:eastAsia="PMingLiU" w:hAnsi="宋体" w:hint="eastAsia"/>
          <w:sz w:val="24"/>
          <w:szCs w:val="24"/>
          <w:lang w:eastAsia="zh-TW"/>
        </w:rPr>
        <w:t>負責內部審計與外部審計之間的溝通，確保內部和外部審計機構的工作得到協調；也須確保內部審計功能在本公司內部有足够資源運作，幷且有適當的地位；以及檢討及監察其成效；</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lastRenderedPageBreak/>
        <w:t>（二）審閱外部審計機構發出的查帳情况說明及本公司管理人員的回應、檢查外部審計機構給予管理層的管理建議函件（包括《審核情况說明函件》或任何性質相同或接近的文件）（“管理建議函件”）、外部審計機構就會計紀錄、財務帳目或監控系統向管理層提出的任何重大疑問及管理層作出的回應；</w:t>
      </w:r>
      <w:r w:rsidR="000E1330">
        <w:rPr>
          <w:rFonts w:ascii="宋体" w:hAnsi="宋体"/>
          <w:sz w:val="24"/>
          <w:szCs w:val="24"/>
        </w:rPr>
        <w:t xml:space="preserve"> </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（三）確保董事會及時回應于外部審計機構給予管理層的管理建議函件中提出的事宜；</w:t>
      </w:r>
      <w:r w:rsidR="000E1330">
        <w:rPr>
          <w:rFonts w:ascii="宋体" w:hAnsi="宋体"/>
          <w:sz w:val="24"/>
          <w:szCs w:val="24"/>
        </w:rPr>
        <w:t xml:space="preserve"> </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（四）討論在中期及年度帳目審核後提出的問題及引起存疑之處，以及外部審計機構希望討論的事項。</w:t>
      </w:r>
    </w:p>
    <w:p w:rsidR="0097330E" w:rsidRDefault="0016620E" w:rsidP="0016620E">
      <w:pPr>
        <w:spacing w:beforeLines="50" w:before="156" w:line="520" w:lineRule="exact"/>
        <w:ind w:firstLineChars="200" w:firstLine="480"/>
        <w:jc w:val="left"/>
        <w:rPr>
          <w:rFonts w:ascii="宋体" w:hAnsi="宋体"/>
          <w:b/>
          <w:sz w:val="24"/>
          <w:szCs w:val="24"/>
        </w:rPr>
      </w:pPr>
      <w:r w:rsidRPr="0016620E">
        <w:rPr>
          <w:rFonts w:ascii="宋体" w:eastAsia="PMingLiU" w:hAnsi="宋体" w:hint="eastAsia"/>
          <w:b/>
          <w:sz w:val="24"/>
          <w:szCs w:val="24"/>
          <w:lang w:eastAsia="zh-TW"/>
        </w:rPr>
        <w:t>六、審議、監管本公司環境、社會及管治事宜，主要包括：</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（一）審議本公司</w:t>
      </w:r>
      <w:r w:rsidRPr="0016620E">
        <w:rPr>
          <w:rFonts w:ascii="宋体" w:eastAsia="PMingLiU" w:hAnsi="宋体"/>
          <w:sz w:val="24"/>
          <w:szCs w:val="24"/>
          <w:lang w:eastAsia="zh-TW"/>
        </w:rPr>
        <w:t>ESG</w:t>
      </w:r>
      <w:r w:rsidRPr="0016620E">
        <w:rPr>
          <w:rFonts w:ascii="宋体" w:eastAsia="PMingLiU" w:hAnsi="宋体" w:hint="eastAsia"/>
          <w:sz w:val="24"/>
          <w:szCs w:val="24"/>
          <w:lang w:eastAsia="zh-TW"/>
        </w:rPr>
        <w:t>工作的管理方針、目標、策略；</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（二）定期檢討</w:t>
      </w:r>
      <w:r w:rsidRPr="0016620E">
        <w:rPr>
          <w:rFonts w:ascii="宋体" w:eastAsia="PMingLiU" w:hAnsi="宋体"/>
          <w:sz w:val="24"/>
          <w:szCs w:val="24"/>
          <w:lang w:eastAsia="zh-TW"/>
        </w:rPr>
        <w:t>ESG</w:t>
      </w:r>
      <w:r w:rsidRPr="0016620E">
        <w:rPr>
          <w:rFonts w:ascii="宋体" w:eastAsia="PMingLiU" w:hAnsi="宋体" w:hint="eastAsia"/>
          <w:sz w:val="24"/>
          <w:szCs w:val="24"/>
          <w:lang w:eastAsia="zh-TW"/>
        </w:rPr>
        <w:t>工作進展，推動</w:t>
      </w:r>
      <w:r w:rsidRPr="0016620E">
        <w:rPr>
          <w:rFonts w:ascii="宋体" w:eastAsia="PMingLiU" w:hAnsi="宋体"/>
          <w:sz w:val="24"/>
          <w:szCs w:val="24"/>
          <w:lang w:eastAsia="zh-TW"/>
        </w:rPr>
        <w:t>ESG</w:t>
      </w:r>
      <w:r w:rsidRPr="0016620E">
        <w:rPr>
          <w:rFonts w:ascii="宋体" w:eastAsia="PMingLiU" w:hAnsi="宋体" w:hint="eastAsia"/>
          <w:sz w:val="24"/>
          <w:szCs w:val="24"/>
          <w:lang w:eastAsia="zh-TW"/>
        </w:rPr>
        <w:t>管理方針、目標、策略有效落實；</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（三）定期檢視本公司</w:t>
      </w:r>
      <w:r w:rsidRPr="0016620E">
        <w:rPr>
          <w:rFonts w:ascii="宋体" w:eastAsia="PMingLiU" w:hAnsi="宋体"/>
          <w:sz w:val="24"/>
          <w:szCs w:val="24"/>
          <w:lang w:eastAsia="zh-TW"/>
        </w:rPr>
        <w:t>ESG</w:t>
      </w:r>
      <w:r w:rsidRPr="0016620E">
        <w:rPr>
          <w:rFonts w:ascii="宋体" w:eastAsia="PMingLiU" w:hAnsi="宋体" w:hint="eastAsia"/>
          <w:sz w:val="24"/>
          <w:szCs w:val="24"/>
          <w:lang w:eastAsia="zh-TW"/>
        </w:rPr>
        <w:t>相關風險與機遇，評估相關風險、機遇對本公司業務的影響程度；</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（四）審議</w:t>
      </w:r>
      <w:r w:rsidRPr="0016620E">
        <w:rPr>
          <w:rFonts w:ascii="宋体" w:eastAsia="PMingLiU" w:hAnsi="宋体"/>
          <w:sz w:val="24"/>
          <w:szCs w:val="24"/>
          <w:lang w:eastAsia="zh-TW"/>
        </w:rPr>
        <w:t>ESG</w:t>
      </w:r>
      <w:r w:rsidRPr="0016620E">
        <w:rPr>
          <w:rFonts w:ascii="宋体" w:eastAsia="PMingLiU" w:hAnsi="宋体" w:hint="eastAsia"/>
          <w:sz w:val="24"/>
          <w:szCs w:val="24"/>
          <w:lang w:eastAsia="zh-TW"/>
        </w:rPr>
        <w:t>實質性議題及行動進展；</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（五）審議本公司年度《環境、社會及管治報告》，持續推進信息披露質量提升；</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（六）定期就審計委員會對</w:t>
      </w:r>
      <w:r w:rsidRPr="0016620E">
        <w:rPr>
          <w:rFonts w:ascii="宋体" w:eastAsia="PMingLiU" w:hAnsi="宋体"/>
          <w:sz w:val="24"/>
          <w:szCs w:val="24"/>
          <w:lang w:eastAsia="zh-TW"/>
        </w:rPr>
        <w:t>ESG</w:t>
      </w:r>
      <w:r w:rsidRPr="0016620E">
        <w:rPr>
          <w:rFonts w:ascii="宋体" w:eastAsia="PMingLiU" w:hAnsi="宋体" w:hint="eastAsia"/>
          <w:sz w:val="24"/>
          <w:szCs w:val="24"/>
          <w:lang w:eastAsia="zh-TW"/>
        </w:rPr>
        <w:t>相關的重大决策或提出的建議向董事會彙報。</w:t>
      </w:r>
    </w:p>
    <w:p w:rsidR="0097330E" w:rsidRDefault="0016620E" w:rsidP="0016620E">
      <w:pPr>
        <w:spacing w:beforeLines="50" w:before="156" w:line="520" w:lineRule="exact"/>
        <w:ind w:firstLineChars="200" w:firstLine="480"/>
        <w:jc w:val="left"/>
        <w:rPr>
          <w:rFonts w:ascii="宋体" w:hAnsi="宋体"/>
          <w:b/>
          <w:sz w:val="24"/>
          <w:szCs w:val="24"/>
        </w:rPr>
      </w:pPr>
      <w:r w:rsidRPr="0016620E">
        <w:rPr>
          <w:rFonts w:ascii="宋体" w:eastAsia="PMingLiU" w:hAnsi="宋体" w:hint="eastAsia"/>
          <w:b/>
          <w:sz w:val="24"/>
          <w:szCs w:val="24"/>
          <w:lang w:eastAsia="zh-TW"/>
        </w:rPr>
        <w:t>七、其他職責，主要包括：</w:t>
      </w:r>
    </w:p>
    <w:p w:rsidR="0097330E" w:rsidRDefault="0016620E" w:rsidP="001705C6">
      <w:pPr>
        <w:spacing w:beforeLines="50" w:before="156" w:line="520" w:lineRule="exact"/>
        <w:ind w:firstLineChars="200" w:firstLine="480"/>
        <w:jc w:val="left"/>
        <w:rPr>
          <w:rFonts w:ascii="宋体" w:hAnsi="宋体"/>
          <w:sz w:val="24"/>
          <w:szCs w:val="24"/>
          <w:highlight w:val="yellow"/>
        </w:rPr>
      </w:pPr>
      <w:r w:rsidRPr="0016620E">
        <w:rPr>
          <w:rFonts w:ascii="宋体" w:eastAsia="PMingLiU" w:hAnsi="宋体" w:hint="eastAsia"/>
          <w:sz w:val="24"/>
          <w:szCs w:val="24"/>
          <w:lang w:eastAsia="zh-TW"/>
        </w:rPr>
        <w:t>（一）監督公司期貨和衍生品交易</w:t>
      </w:r>
      <w:r w:rsidRPr="0016620E">
        <w:rPr>
          <w:rFonts w:ascii="宋体" w:eastAsia="PMingLiU" w:hAnsi="宋体" w:cs="宋体" w:hint="eastAsia"/>
          <w:sz w:val="24"/>
          <w:szCs w:val="24"/>
          <w:lang w:eastAsia="zh-TW"/>
        </w:rPr>
        <w:t>：審查公司期貨和衍生品交易的必要性、可行性及風險控制情况，必要時可以聘請專業機構出具可行性分析報告；對期貨和衍生品交易相關風險控制政策和程序的評價與監督，及時識別相關內部控制缺陷幷采取補救措施；</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lastRenderedPageBreak/>
        <w:t>（二）檢討本公司的財務及會計政策及實務；</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（三）監督財務會計報告問題的整改情况；</w:t>
      </w:r>
    </w:p>
    <w:p w:rsidR="0097330E" w:rsidRDefault="0016620E" w:rsidP="001705C6">
      <w:pPr>
        <w:spacing w:beforeLines="50" w:before="156" w:line="520" w:lineRule="exact"/>
        <w:ind w:firstLineChars="200" w:firstLine="480"/>
        <w:jc w:val="left"/>
        <w:rPr>
          <w:rFonts w:ascii="宋体" w:hAnsi="宋体"/>
          <w:sz w:val="24"/>
          <w:szCs w:val="24"/>
          <w:lang w:eastAsia="zh-TW"/>
        </w:rPr>
      </w:pPr>
      <w:r w:rsidRPr="0016620E">
        <w:rPr>
          <w:rFonts w:ascii="宋体" w:eastAsia="PMingLiU" w:hAnsi="宋体" w:hint="eastAsia"/>
          <w:sz w:val="24"/>
          <w:szCs w:val="24"/>
          <w:lang w:eastAsia="zh-TW"/>
        </w:rPr>
        <w:t>（四）檢討本公司設定的以下安排：本公司雇員可暗中就財務彙報、內部監控或其他方面可能發生的不正當行爲提出關注。審計委員會應確保有適當安排，讓本公司對此等事宜作出公平獨立的調查及采取適當行動；</w:t>
      </w:r>
    </w:p>
    <w:p w:rsidR="0097330E" w:rsidRDefault="0016620E" w:rsidP="001705C6">
      <w:pPr>
        <w:spacing w:beforeLines="50" w:before="156" w:line="520" w:lineRule="exact"/>
        <w:ind w:firstLineChars="200" w:firstLine="480"/>
        <w:jc w:val="left"/>
        <w:rPr>
          <w:rFonts w:ascii="宋体" w:hAnsi="宋体"/>
          <w:sz w:val="24"/>
          <w:szCs w:val="24"/>
          <w:lang w:eastAsia="zh-TW"/>
        </w:rPr>
      </w:pPr>
      <w:r w:rsidRPr="0016620E">
        <w:rPr>
          <w:rFonts w:ascii="宋体" w:eastAsia="PMingLiU" w:hAnsi="宋体" w:hint="eastAsia"/>
          <w:sz w:val="24"/>
          <w:szCs w:val="24"/>
          <w:lang w:eastAsia="zh-TW"/>
        </w:rPr>
        <w:t>（五）審計委員會應當就其認爲必須采取的措施或者改善的事項向董事會報告，幷提出意見。</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（六）就《香港聯合交易所有限公司證券上市規則》附錄</w:t>
      </w:r>
      <w:bookmarkStart w:id="0" w:name="_GoBack"/>
      <w:r w:rsidR="00A83B6A">
        <w:rPr>
          <w:rFonts w:ascii="宋体" w:eastAsiaTheme="minorEastAsia" w:hAnsi="宋体" w:hint="eastAsia"/>
          <w:sz w:val="24"/>
          <w:szCs w:val="24"/>
        </w:rPr>
        <w:t>C1</w:t>
      </w:r>
      <w:bookmarkEnd w:id="0"/>
      <w:r w:rsidRPr="0016620E">
        <w:rPr>
          <w:rFonts w:ascii="宋体" w:eastAsia="PMingLiU" w:hAnsi="宋体" w:hint="eastAsia"/>
          <w:sz w:val="24"/>
          <w:szCs w:val="24"/>
          <w:lang w:eastAsia="zh-TW"/>
        </w:rPr>
        <w:t>《公司管治守則及企業管治報告》第</w:t>
      </w:r>
      <w:r w:rsidRPr="0016620E">
        <w:rPr>
          <w:rFonts w:ascii="宋体" w:eastAsia="PMingLiU" w:hAnsi="宋体"/>
          <w:sz w:val="24"/>
          <w:szCs w:val="24"/>
          <w:lang w:eastAsia="zh-TW"/>
        </w:rPr>
        <w:t>D.3</w:t>
      </w:r>
      <w:r w:rsidRPr="0016620E">
        <w:rPr>
          <w:rFonts w:ascii="宋体" w:eastAsia="PMingLiU" w:hAnsi="宋体" w:hint="eastAsia"/>
          <w:sz w:val="24"/>
          <w:szCs w:val="24"/>
          <w:lang w:eastAsia="zh-TW"/>
        </w:rPr>
        <w:t>條所載的事宜向董事會彙報；</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（七）研究其他由董事會界定的課題；及</w:t>
      </w:r>
      <w:r w:rsidR="000E1330">
        <w:rPr>
          <w:rFonts w:ascii="宋体" w:hAnsi="宋体"/>
          <w:sz w:val="24"/>
          <w:szCs w:val="24"/>
        </w:rPr>
        <w:t xml:space="preserve"> </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（八）適用法律、法規、上市規則、公司章程規定的事宜及本公司董事會授權的其他事宜。</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sz w:val="24"/>
          <w:szCs w:val="24"/>
          <w:lang w:eastAsia="zh-TW"/>
        </w:rPr>
        <w:t>就本第八條而言，會計師事務所包括與負責核數的公司處于同一控制權、所有權或管理權之下的任何機構，或一個合理知悉所有有關資料的第三方，在合理情况下會斷定該機構屬</w:t>
      </w:r>
      <w:r w:rsidRPr="0016620E">
        <w:rPr>
          <w:rFonts w:ascii="宋体" w:eastAsia="PMingLiU" w:hAnsi="宋体"/>
          <w:sz w:val="24"/>
          <w:szCs w:val="24"/>
          <w:lang w:eastAsia="zh-TW"/>
        </w:rPr>
        <w:t>該負責核數的公司的本土或國際</w:t>
      </w:r>
      <w:r w:rsidRPr="0016620E">
        <w:rPr>
          <w:rFonts w:ascii="宋体" w:eastAsia="PMingLiU" w:hAnsi="宋体" w:hint="eastAsia"/>
          <w:sz w:val="24"/>
          <w:szCs w:val="24"/>
          <w:lang w:eastAsia="zh-TW"/>
        </w:rPr>
        <w:t>業務的一部分的任何機構。</w:t>
      </w:r>
    </w:p>
    <w:p w:rsidR="0097330E" w:rsidRDefault="0016620E" w:rsidP="0016620E">
      <w:pPr>
        <w:spacing w:beforeLines="50" w:before="156" w:line="520" w:lineRule="exact"/>
        <w:ind w:firstLineChars="200" w:firstLine="480"/>
        <w:jc w:val="left"/>
        <w:rPr>
          <w:rFonts w:ascii="宋体" w:hAnsi="宋体"/>
          <w:bCs/>
          <w:sz w:val="24"/>
          <w:szCs w:val="24"/>
        </w:rPr>
      </w:pPr>
      <w:r w:rsidRPr="0016620E">
        <w:rPr>
          <w:rFonts w:ascii="宋体" w:eastAsia="PMingLiU" w:hAnsi="宋体" w:hint="eastAsia"/>
          <w:b/>
          <w:sz w:val="24"/>
          <w:szCs w:val="24"/>
          <w:lang w:eastAsia="zh-TW"/>
        </w:rPr>
        <w:t>第九條</w:t>
      </w:r>
      <w:r w:rsidRPr="0016620E">
        <w:rPr>
          <w:rFonts w:ascii="宋体" w:eastAsia="PMingLiU" w:hAnsi="宋体" w:hint="eastAsia"/>
          <w:bCs/>
          <w:sz w:val="24"/>
          <w:szCs w:val="24"/>
          <w:lang w:eastAsia="zh-TW"/>
        </w:rPr>
        <w:t>下列事項應當經審計委員會全體成員過半數同意後，提交董事會審議：</w:t>
      </w:r>
    </w:p>
    <w:p w:rsidR="0097330E" w:rsidRDefault="0016620E" w:rsidP="001705C6">
      <w:pPr>
        <w:spacing w:beforeLines="50" w:before="156" w:line="520" w:lineRule="exact"/>
        <w:ind w:firstLineChars="200" w:firstLine="480"/>
        <w:jc w:val="left"/>
        <w:rPr>
          <w:rFonts w:ascii="宋体" w:hAnsi="宋体"/>
          <w:bCs/>
          <w:sz w:val="24"/>
          <w:szCs w:val="24"/>
        </w:rPr>
      </w:pPr>
      <w:r w:rsidRPr="0016620E">
        <w:rPr>
          <w:rFonts w:ascii="宋体" w:eastAsia="PMingLiU" w:hAnsi="宋体" w:hint="eastAsia"/>
          <w:bCs/>
          <w:sz w:val="24"/>
          <w:szCs w:val="24"/>
          <w:lang w:eastAsia="zh-TW"/>
        </w:rPr>
        <w:t>（一）披露財務會計報告及定期報告中的財務信息、內部控制評價報告；</w:t>
      </w:r>
    </w:p>
    <w:p w:rsidR="0097330E" w:rsidRDefault="0016620E" w:rsidP="001705C6">
      <w:pPr>
        <w:spacing w:beforeLines="50" w:before="156" w:line="520" w:lineRule="exact"/>
        <w:ind w:firstLineChars="200" w:firstLine="480"/>
        <w:jc w:val="left"/>
        <w:rPr>
          <w:rFonts w:ascii="宋体" w:hAnsi="宋体"/>
          <w:bCs/>
          <w:sz w:val="24"/>
          <w:szCs w:val="24"/>
        </w:rPr>
      </w:pPr>
      <w:r w:rsidRPr="0016620E">
        <w:rPr>
          <w:rFonts w:ascii="宋体" w:eastAsia="PMingLiU" w:hAnsi="宋体" w:hint="eastAsia"/>
          <w:bCs/>
          <w:sz w:val="24"/>
          <w:szCs w:val="24"/>
          <w:lang w:eastAsia="zh-TW"/>
        </w:rPr>
        <w:t>（二）聘用或者解聘承辦上市公司審計業務的會計師事務所；</w:t>
      </w:r>
    </w:p>
    <w:p w:rsidR="0097330E" w:rsidRDefault="0016620E" w:rsidP="001705C6">
      <w:pPr>
        <w:spacing w:beforeLines="50" w:before="156" w:line="520" w:lineRule="exact"/>
        <w:ind w:firstLineChars="200" w:firstLine="480"/>
        <w:jc w:val="left"/>
        <w:rPr>
          <w:rFonts w:ascii="宋体" w:hAnsi="宋体"/>
          <w:bCs/>
          <w:sz w:val="24"/>
          <w:szCs w:val="24"/>
        </w:rPr>
      </w:pPr>
      <w:r w:rsidRPr="0016620E">
        <w:rPr>
          <w:rFonts w:ascii="宋体" w:eastAsia="PMingLiU" w:hAnsi="宋体" w:hint="eastAsia"/>
          <w:bCs/>
          <w:sz w:val="24"/>
          <w:szCs w:val="24"/>
          <w:lang w:eastAsia="zh-TW"/>
        </w:rPr>
        <w:t>（三）聘任或者解聘上市公司財務負責人；</w:t>
      </w:r>
    </w:p>
    <w:p w:rsidR="0097330E" w:rsidRDefault="0016620E" w:rsidP="001705C6">
      <w:pPr>
        <w:spacing w:beforeLines="50" w:before="156" w:line="520" w:lineRule="exact"/>
        <w:ind w:firstLineChars="200" w:firstLine="480"/>
        <w:jc w:val="left"/>
        <w:rPr>
          <w:rFonts w:ascii="宋体" w:hAnsi="宋体"/>
          <w:bCs/>
          <w:sz w:val="24"/>
          <w:szCs w:val="24"/>
        </w:rPr>
      </w:pPr>
      <w:r w:rsidRPr="0016620E">
        <w:rPr>
          <w:rFonts w:ascii="宋体" w:eastAsia="PMingLiU" w:hAnsi="宋体" w:hint="eastAsia"/>
          <w:bCs/>
          <w:sz w:val="24"/>
          <w:szCs w:val="24"/>
          <w:lang w:eastAsia="zh-TW"/>
        </w:rPr>
        <w:t>（四）因會計準則變更以外的原因作出會計政策、會計估計變更或者重大會計差錯更正；</w:t>
      </w:r>
    </w:p>
    <w:p w:rsidR="0097330E" w:rsidRDefault="0016620E" w:rsidP="001705C6">
      <w:pPr>
        <w:spacing w:beforeLines="50" w:before="156" w:line="520" w:lineRule="exact"/>
        <w:ind w:firstLineChars="200" w:firstLine="480"/>
        <w:jc w:val="left"/>
        <w:rPr>
          <w:rFonts w:ascii="宋体" w:hAnsi="宋体"/>
          <w:bCs/>
          <w:sz w:val="24"/>
          <w:szCs w:val="24"/>
        </w:rPr>
      </w:pPr>
      <w:r w:rsidRPr="0016620E">
        <w:rPr>
          <w:rFonts w:ascii="宋体" w:eastAsia="PMingLiU" w:hAnsi="宋体" w:hint="eastAsia"/>
          <w:bCs/>
          <w:sz w:val="24"/>
          <w:szCs w:val="24"/>
          <w:lang w:eastAsia="zh-TW"/>
        </w:rPr>
        <w:lastRenderedPageBreak/>
        <w:t>（五）法律法規、中國證監會、公司股票上市所在地證券交易所相關規定及公司章程規定的其他事項。</w:t>
      </w:r>
    </w:p>
    <w:p w:rsidR="0097330E" w:rsidRDefault="0016620E" w:rsidP="0016620E">
      <w:pPr>
        <w:spacing w:beforeLines="50" w:before="156" w:line="520" w:lineRule="exact"/>
        <w:ind w:firstLineChars="200" w:firstLine="480"/>
        <w:jc w:val="left"/>
        <w:rPr>
          <w:rFonts w:ascii="宋体" w:hAnsi="宋体"/>
          <w:color w:val="000000"/>
          <w:kern w:val="0"/>
          <w:sz w:val="24"/>
          <w:szCs w:val="24"/>
        </w:rPr>
      </w:pPr>
      <w:r w:rsidRPr="0016620E">
        <w:rPr>
          <w:rFonts w:ascii="宋体" w:eastAsia="PMingLiU" w:hAnsi="宋体" w:hint="eastAsia"/>
          <w:b/>
          <w:sz w:val="24"/>
          <w:szCs w:val="24"/>
          <w:lang w:eastAsia="zh-TW"/>
        </w:rPr>
        <w:t>第十條</w:t>
      </w:r>
      <w:r w:rsidRPr="0016620E">
        <w:rPr>
          <w:rFonts w:eastAsia="PMingLiU"/>
          <w:szCs w:val="24"/>
          <w:lang w:eastAsia="zh-TW"/>
        </w:rPr>
        <w:t xml:space="preserve">  </w:t>
      </w:r>
      <w:r w:rsidRPr="0016620E">
        <w:rPr>
          <w:rFonts w:ascii="宋体" w:eastAsia="PMingLiU" w:hAnsi="宋体" w:hint="eastAsia"/>
          <w:color w:val="000000"/>
          <w:kern w:val="0"/>
          <w:sz w:val="24"/>
          <w:szCs w:val="24"/>
          <w:lang w:eastAsia="zh-TW"/>
        </w:rPr>
        <w:t>除法律法規另有規定外，董事會審計委員會應當督導內部審計部門至少每半年對下列事項進行一次檢查，出具檢查報告幷提交審計委員會。檢查發現本公司存在違法違規、運作不規範等情形的，應當及時向上海證券交易所報告：</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（一）本公司募集資金使用、提供擔保、關聯交易、證券投資與衍生品交易、提供財務資助、購買或者出售資産、對外投資等重大事件的實施情况；</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（二）本公司大額資金往來以及與董事、監事、高級管理人員、控股股東、實際控制人及其關聯人資金往來情况。</w:t>
      </w:r>
    </w:p>
    <w:p w:rsidR="0097330E" w:rsidRDefault="0016620E" w:rsidP="001705C6">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color w:val="000000"/>
          <w:kern w:val="0"/>
          <w:sz w:val="24"/>
          <w:szCs w:val="24"/>
          <w:lang w:eastAsia="zh-TW"/>
        </w:rPr>
        <w:t>審計委員會應當根據內部審計部門提交的內部審計報告及相關資料，對本公司內部控制有效性出具書面的評估意見，幷向董事會報告。</w:t>
      </w:r>
    </w:p>
    <w:p w:rsidR="0097330E" w:rsidRDefault="0016620E" w:rsidP="0016620E">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b/>
          <w:sz w:val="24"/>
          <w:szCs w:val="24"/>
          <w:lang w:eastAsia="zh-TW"/>
        </w:rPr>
        <w:t>第十一條</w:t>
      </w:r>
      <w:r w:rsidRPr="0016620E">
        <w:rPr>
          <w:rFonts w:eastAsia="PMingLiU"/>
          <w:szCs w:val="24"/>
          <w:lang w:eastAsia="zh-TW"/>
        </w:rPr>
        <w:t xml:space="preserve">  </w:t>
      </w:r>
      <w:r w:rsidRPr="0016620E">
        <w:rPr>
          <w:rFonts w:ascii="宋体" w:eastAsia="PMingLiU" w:hAnsi="宋体" w:hint="eastAsia"/>
          <w:color w:val="000000"/>
          <w:kern w:val="0"/>
          <w:sz w:val="24"/>
          <w:szCs w:val="24"/>
          <w:lang w:eastAsia="zh-TW"/>
        </w:rPr>
        <w:t>本公司審計委員會應當根據內部審計部門出具的評價報告及相關資料，出具年度內部控制評價報告。內部控制評價報告應當包括下列內容：</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（一）董事會對內部控制評價報告真實性的聲明；</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（二）內部控制評價工作的總體情况；</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（三）內部控制評價的依據、範圍、程序和方法；</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（四）內部控制存在的缺陷及其認定情况；</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（五）對上一年度內部控制缺陷的整改情况；</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（六）對本年度內部控制缺陷擬采取的整改措施；</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t>（七）內部控制有效性的結論。</w:t>
      </w:r>
    </w:p>
    <w:p w:rsidR="0097330E" w:rsidRDefault="0016620E" w:rsidP="001705C6">
      <w:pPr>
        <w:widowControl/>
        <w:shd w:val="clear" w:color="auto" w:fill="FFFFFF"/>
        <w:spacing w:beforeLines="50" w:before="156" w:line="520" w:lineRule="exact"/>
        <w:ind w:firstLineChars="200" w:firstLine="480"/>
        <w:rPr>
          <w:rFonts w:ascii="宋体" w:hAnsi="宋体"/>
          <w:color w:val="000000"/>
          <w:kern w:val="0"/>
          <w:sz w:val="24"/>
          <w:szCs w:val="24"/>
        </w:rPr>
      </w:pPr>
      <w:r w:rsidRPr="0016620E">
        <w:rPr>
          <w:rFonts w:ascii="宋体" w:eastAsia="PMingLiU" w:hAnsi="宋体" w:hint="eastAsia"/>
          <w:color w:val="000000"/>
          <w:kern w:val="0"/>
          <w:sz w:val="24"/>
          <w:szCs w:val="24"/>
          <w:lang w:eastAsia="zh-TW"/>
        </w:rPr>
        <w:lastRenderedPageBreak/>
        <w:t>會計師事務所應當參照主管部門相關規定對本公司內部控制評價報告進行核實評價。</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第十二條</w:t>
      </w:r>
      <w:r w:rsidRPr="0016620E">
        <w:rPr>
          <w:rFonts w:eastAsia="PMingLiU"/>
          <w:szCs w:val="24"/>
          <w:lang w:eastAsia="zh-TW"/>
        </w:rPr>
        <w:t xml:space="preserve">  </w:t>
      </w:r>
      <w:r w:rsidRPr="0016620E">
        <w:rPr>
          <w:rFonts w:ascii="宋体" w:eastAsia="PMingLiU" w:hAnsi="宋体" w:hint="eastAsia"/>
          <w:color w:val="000000"/>
          <w:kern w:val="0"/>
          <w:sz w:val="24"/>
          <w:szCs w:val="24"/>
          <w:lang w:eastAsia="zh-TW"/>
        </w:rPr>
        <w:t>審計委員會應當根據上市公司內部審計工作報告及相關信息，評價本公司內部控制的建立和實施情况，形成內部控制評價報告。董事會在審議年度報告等事項的同時，對本公司內部控制評價報告形成决議。</w:t>
      </w:r>
    </w:p>
    <w:p w:rsidR="0097330E" w:rsidRDefault="0016620E" w:rsidP="0016620E">
      <w:pPr>
        <w:spacing w:beforeLines="50" w:before="156" w:line="520" w:lineRule="exact"/>
        <w:ind w:firstLineChars="200" w:firstLine="480"/>
        <w:jc w:val="left"/>
        <w:rPr>
          <w:rFonts w:ascii="宋体" w:hAnsi="宋体"/>
          <w:sz w:val="24"/>
          <w:szCs w:val="24"/>
          <w:lang w:eastAsia="zh-TW"/>
        </w:rPr>
      </w:pPr>
      <w:r w:rsidRPr="0016620E">
        <w:rPr>
          <w:rFonts w:ascii="宋体" w:eastAsia="PMingLiU" w:hAnsi="宋体" w:hint="eastAsia"/>
          <w:b/>
          <w:sz w:val="24"/>
          <w:szCs w:val="24"/>
          <w:lang w:eastAsia="zh-TW"/>
        </w:rPr>
        <w:t>第十三條</w:t>
      </w:r>
      <w:r w:rsidRPr="0016620E">
        <w:rPr>
          <w:rFonts w:ascii="宋体" w:eastAsia="PMingLiU" w:hAnsi="宋体"/>
          <w:b/>
          <w:sz w:val="24"/>
          <w:szCs w:val="24"/>
          <w:lang w:eastAsia="zh-TW"/>
        </w:rPr>
        <w:t xml:space="preserve"> </w:t>
      </w:r>
      <w:r w:rsidRPr="0016620E">
        <w:rPr>
          <w:rFonts w:ascii="宋体" w:eastAsia="PMingLiU" w:hAnsi="宋体"/>
          <w:sz w:val="24"/>
          <w:szCs w:val="24"/>
          <w:lang w:eastAsia="zh-TW"/>
        </w:rPr>
        <w:t xml:space="preserve"> </w:t>
      </w:r>
      <w:r w:rsidRPr="0016620E">
        <w:rPr>
          <w:rFonts w:ascii="宋体" w:eastAsia="PMingLiU" w:hAnsi="宋体" w:hint="eastAsia"/>
          <w:sz w:val="24"/>
          <w:szCs w:val="24"/>
          <w:lang w:eastAsia="zh-TW"/>
        </w:rPr>
        <w:t>審計委員會對本公司董事會負責，審計委員會的提案提交董事會審議决定。審計委員會有責任配合監事會的監事審計活動。</w:t>
      </w:r>
      <w:r w:rsidR="000E1330">
        <w:rPr>
          <w:rFonts w:ascii="宋体" w:hAnsi="宋体"/>
          <w:sz w:val="24"/>
          <w:szCs w:val="24"/>
          <w:lang w:eastAsia="zh-TW"/>
        </w:rPr>
        <w:t xml:space="preserve"> </w:t>
      </w:r>
    </w:p>
    <w:p w:rsidR="0097330E" w:rsidRDefault="0016620E" w:rsidP="0016620E">
      <w:pPr>
        <w:spacing w:beforeLines="50" w:before="156" w:line="520" w:lineRule="exact"/>
        <w:ind w:firstLineChars="200" w:firstLine="480"/>
        <w:jc w:val="left"/>
        <w:rPr>
          <w:rFonts w:ascii="宋体" w:hAnsi="宋体" w:cs="宋体"/>
          <w:sz w:val="24"/>
          <w:szCs w:val="24"/>
          <w:lang w:eastAsia="zh-TW"/>
        </w:rPr>
      </w:pPr>
      <w:r w:rsidRPr="0016620E">
        <w:rPr>
          <w:rFonts w:ascii="宋体" w:eastAsia="PMingLiU" w:hAnsi="宋体" w:hint="eastAsia"/>
          <w:b/>
          <w:sz w:val="24"/>
          <w:szCs w:val="24"/>
          <w:lang w:eastAsia="zh-TW"/>
        </w:rPr>
        <w:t>第十四條</w:t>
      </w:r>
      <w:r w:rsidRPr="0016620E">
        <w:rPr>
          <w:rFonts w:eastAsia="PMingLiU"/>
          <w:szCs w:val="24"/>
          <w:lang w:eastAsia="zh-TW"/>
        </w:rPr>
        <w:t xml:space="preserve">  </w:t>
      </w:r>
      <w:r w:rsidRPr="0016620E">
        <w:rPr>
          <w:rFonts w:ascii="宋体" w:eastAsia="PMingLiU" w:hAnsi="宋体" w:cs="宋体" w:hint="eastAsia"/>
          <w:sz w:val="24"/>
          <w:szCs w:val="24"/>
          <w:lang w:eastAsia="zh-TW"/>
        </w:rPr>
        <w:t>董事會授權審計委員會在其職責範圍進行任何調查。</w:t>
      </w:r>
    </w:p>
    <w:p w:rsidR="0097330E" w:rsidRDefault="0016620E" w:rsidP="001705C6">
      <w:pPr>
        <w:autoSpaceDE w:val="0"/>
        <w:autoSpaceDN w:val="0"/>
        <w:spacing w:beforeLines="100" w:before="312"/>
        <w:jc w:val="center"/>
        <w:rPr>
          <w:rFonts w:ascii="宋体" w:hAnsi="宋体"/>
          <w:b/>
          <w:bCs/>
          <w:color w:val="000000"/>
          <w:sz w:val="28"/>
          <w:szCs w:val="28"/>
          <w:lang w:eastAsia="zh-TW"/>
        </w:rPr>
      </w:pPr>
      <w:r w:rsidRPr="0016620E">
        <w:rPr>
          <w:rFonts w:ascii="宋体" w:eastAsia="PMingLiU" w:hAnsi="宋体" w:hint="eastAsia"/>
          <w:b/>
          <w:bCs/>
          <w:color w:val="000000"/>
          <w:sz w:val="28"/>
          <w:szCs w:val="28"/>
          <w:lang w:eastAsia="zh-TW"/>
        </w:rPr>
        <w:t>第四章</w:t>
      </w:r>
      <w:r w:rsidRPr="0016620E">
        <w:rPr>
          <w:rFonts w:ascii="宋体" w:eastAsia="PMingLiU" w:hAnsi="宋体"/>
          <w:b/>
          <w:bCs/>
          <w:color w:val="000000"/>
          <w:sz w:val="28"/>
          <w:szCs w:val="28"/>
          <w:lang w:eastAsia="zh-TW"/>
        </w:rPr>
        <w:t xml:space="preserve">  </w:t>
      </w:r>
      <w:r w:rsidRPr="0016620E">
        <w:rPr>
          <w:rFonts w:ascii="宋体" w:eastAsia="PMingLiU" w:hAnsi="宋体" w:hint="eastAsia"/>
          <w:b/>
          <w:bCs/>
          <w:color w:val="000000"/>
          <w:sz w:val="28"/>
          <w:szCs w:val="28"/>
          <w:lang w:eastAsia="zh-TW"/>
        </w:rPr>
        <w:t>議事規則</w:t>
      </w:r>
      <w:r w:rsidR="000E1330">
        <w:rPr>
          <w:rFonts w:ascii="宋体" w:hAnsi="宋体" w:hint="eastAsia"/>
          <w:b/>
          <w:bCs/>
          <w:color w:val="000000"/>
          <w:sz w:val="28"/>
          <w:szCs w:val="28"/>
          <w:lang w:eastAsia="zh-TW"/>
        </w:rPr>
        <w:t xml:space="preserve"> </w:t>
      </w:r>
    </w:p>
    <w:p w:rsidR="0097330E" w:rsidRDefault="0016620E" w:rsidP="0016620E">
      <w:pPr>
        <w:spacing w:beforeLines="50" w:before="156" w:line="520" w:lineRule="exact"/>
        <w:ind w:firstLineChars="200" w:firstLine="480"/>
        <w:jc w:val="left"/>
        <w:rPr>
          <w:lang w:eastAsia="zh-TW"/>
        </w:rPr>
      </w:pPr>
      <w:r w:rsidRPr="0016620E">
        <w:rPr>
          <w:rFonts w:ascii="宋体" w:eastAsia="PMingLiU" w:hAnsi="宋体" w:hint="eastAsia"/>
          <w:b/>
          <w:sz w:val="24"/>
          <w:szCs w:val="24"/>
          <w:lang w:eastAsia="zh-TW"/>
        </w:rPr>
        <w:t>第十五條</w:t>
      </w:r>
      <w:r w:rsidRPr="0016620E">
        <w:rPr>
          <w:rFonts w:eastAsia="PMingLiU"/>
          <w:szCs w:val="24"/>
          <w:lang w:eastAsia="zh-TW"/>
        </w:rPr>
        <w:t xml:space="preserve">  </w:t>
      </w:r>
      <w:r w:rsidRPr="0016620E">
        <w:rPr>
          <w:rFonts w:ascii="宋体" w:eastAsia="PMingLiU" w:hAnsi="宋体" w:hint="eastAsia"/>
          <w:sz w:val="24"/>
          <w:szCs w:val="24"/>
          <w:lang w:eastAsia="zh-TW"/>
        </w:rPr>
        <w:t>審計委員會會議分爲定期會議和臨時會議。審計委員會每季度至少召開一次會議，兩名及以上成員提議，或者主任委員認爲有必要時，可以召開臨時會議。審計委員會會議須有三分之二以上成員出席方可舉行。</w:t>
      </w:r>
    </w:p>
    <w:p w:rsidR="0097330E" w:rsidRDefault="0016620E" w:rsidP="0016620E">
      <w:pPr>
        <w:spacing w:beforeLines="50" w:before="156" w:line="520" w:lineRule="exact"/>
        <w:ind w:firstLineChars="200" w:firstLine="480"/>
        <w:jc w:val="left"/>
        <w:rPr>
          <w:lang w:eastAsia="zh-TW"/>
        </w:rPr>
      </w:pPr>
      <w:r w:rsidRPr="0016620E">
        <w:rPr>
          <w:rFonts w:ascii="宋体" w:eastAsia="PMingLiU" w:hAnsi="宋体" w:hint="eastAsia"/>
          <w:b/>
          <w:sz w:val="24"/>
          <w:szCs w:val="24"/>
          <w:lang w:eastAsia="zh-TW"/>
        </w:rPr>
        <w:t>第十六條</w:t>
      </w:r>
      <w:r w:rsidRPr="0016620E">
        <w:rPr>
          <w:rFonts w:eastAsia="PMingLiU"/>
          <w:szCs w:val="24"/>
          <w:lang w:eastAsia="zh-TW"/>
        </w:rPr>
        <w:t xml:space="preserve">  </w:t>
      </w:r>
      <w:r w:rsidRPr="0016620E">
        <w:rPr>
          <w:rFonts w:ascii="宋体" w:eastAsia="PMingLiU" w:hAnsi="宋体" w:hint="eastAsia"/>
          <w:sz w:val="24"/>
          <w:szCs w:val="24"/>
          <w:lang w:eastAsia="zh-TW"/>
        </w:rPr>
        <w:t>審計委員會可以采用現場方式、通訊方式（含視頻、電話、傳真、電子郵件等方式）或現場與通訊相結合的方式召開。</w:t>
      </w:r>
    </w:p>
    <w:p w:rsidR="0097330E" w:rsidRDefault="0016620E" w:rsidP="0016620E">
      <w:pPr>
        <w:spacing w:beforeLines="50" w:before="156" w:line="520" w:lineRule="exact"/>
        <w:ind w:firstLineChars="200" w:firstLine="480"/>
        <w:jc w:val="left"/>
        <w:rPr>
          <w:rFonts w:ascii="宋体" w:hAnsi="宋体"/>
          <w:sz w:val="24"/>
          <w:szCs w:val="24"/>
          <w:lang w:eastAsia="zh-TW"/>
        </w:rPr>
      </w:pPr>
      <w:r w:rsidRPr="0016620E">
        <w:rPr>
          <w:rFonts w:ascii="宋体" w:eastAsia="PMingLiU" w:hAnsi="宋体" w:hint="eastAsia"/>
          <w:b/>
          <w:bCs/>
          <w:sz w:val="24"/>
          <w:szCs w:val="24"/>
          <w:lang w:eastAsia="zh-TW"/>
        </w:rPr>
        <w:t>第十七條</w:t>
      </w:r>
      <w:r w:rsidRPr="0016620E">
        <w:rPr>
          <w:rFonts w:eastAsia="PMingLiU"/>
          <w:szCs w:val="24"/>
          <w:lang w:eastAsia="zh-TW"/>
        </w:rPr>
        <w:t xml:space="preserve">  </w:t>
      </w:r>
      <w:r w:rsidRPr="0016620E">
        <w:rPr>
          <w:rFonts w:ascii="宋体" w:eastAsia="PMingLiU" w:hAnsi="宋体" w:hint="eastAsia"/>
          <w:sz w:val="24"/>
          <w:szCs w:val="24"/>
          <w:lang w:eastAsia="zh-TW"/>
        </w:rPr>
        <w:t>定期會議應于會議召開前五日發出會議通知；臨時會議原則上應于會議召開前三日發出會議通知。如情况緊急，需儘快召開專門會議的，經全體委員一致同意，可豁免前述通知期限要求。會議通知應附內容完整的議案。</w:t>
      </w:r>
    </w:p>
    <w:p w:rsidR="0097330E" w:rsidRDefault="0016620E" w:rsidP="0016620E">
      <w:pPr>
        <w:spacing w:beforeLines="50" w:before="156" w:line="520" w:lineRule="exact"/>
        <w:ind w:firstLineChars="200" w:firstLine="512"/>
        <w:rPr>
          <w:rFonts w:ascii="宋体" w:hAnsi="宋体"/>
          <w:sz w:val="24"/>
          <w:szCs w:val="24"/>
        </w:rPr>
      </w:pPr>
      <w:r w:rsidRPr="0016620E">
        <w:rPr>
          <w:rFonts w:ascii="宋体" w:eastAsia="PMingLiU" w:hAnsi="宋体" w:hint="eastAsia"/>
          <w:b/>
          <w:bCs/>
          <w:spacing w:val="8"/>
          <w:sz w:val="24"/>
          <w:szCs w:val="24"/>
          <w:lang w:eastAsia="zh-TW"/>
        </w:rPr>
        <w:t>第十八條</w:t>
      </w:r>
      <w:r w:rsidRPr="0016620E">
        <w:rPr>
          <w:rFonts w:eastAsia="PMingLiU"/>
          <w:szCs w:val="24"/>
          <w:lang w:eastAsia="zh-TW"/>
        </w:rPr>
        <w:t xml:space="preserve">  </w:t>
      </w:r>
      <w:r w:rsidRPr="0016620E">
        <w:rPr>
          <w:rFonts w:ascii="宋体" w:eastAsia="PMingLiU" w:hAnsi="宋体" w:hint="eastAsia"/>
          <w:spacing w:val="8"/>
          <w:sz w:val="24"/>
          <w:szCs w:val="24"/>
          <w:lang w:eastAsia="zh-TW"/>
        </w:rPr>
        <w:t>委員原則上應當親自出席會議，因故不能親自出席會議的，應當事先審閱會議材料，形成明確的意見，幷書面委托其他委員代爲出席。</w:t>
      </w:r>
      <w:r w:rsidRPr="0016620E">
        <w:rPr>
          <w:rFonts w:ascii="宋体" w:eastAsia="PMingLiU" w:hAnsi="宋体" w:hint="eastAsia"/>
          <w:sz w:val="24"/>
          <w:szCs w:val="24"/>
          <w:lang w:eastAsia="zh-TW"/>
        </w:rPr>
        <w:t>每一名委員有一票的表决權。</w:t>
      </w:r>
    </w:p>
    <w:p w:rsidR="0097330E" w:rsidRDefault="0016620E" w:rsidP="0016620E">
      <w:pPr>
        <w:spacing w:beforeLines="50" w:before="156" w:line="520" w:lineRule="exact"/>
        <w:ind w:firstLineChars="200" w:firstLine="480"/>
        <w:rPr>
          <w:rFonts w:ascii="宋体" w:hAnsi="宋体"/>
          <w:sz w:val="24"/>
          <w:szCs w:val="24"/>
        </w:rPr>
      </w:pPr>
      <w:r w:rsidRPr="0016620E">
        <w:rPr>
          <w:rFonts w:ascii="宋体" w:eastAsia="PMingLiU" w:hAnsi="宋体" w:hint="eastAsia"/>
          <w:b/>
          <w:bCs/>
          <w:sz w:val="24"/>
          <w:szCs w:val="24"/>
          <w:lang w:eastAsia="zh-TW"/>
        </w:rPr>
        <w:t>第十九條</w:t>
      </w:r>
      <w:r w:rsidRPr="0016620E">
        <w:rPr>
          <w:rFonts w:eastAsia="PMingLiU"/>
          <w:szCs w:val="24"/>
          <w:lang w:eastAsia="zh-TW"/>
        </w:rPr>
        <w:t xml:space="preserve">  </w:t>
      </w:r>
      <w:r w:rsidRPr="0016620E">
        <w:rPr>
          <w:rFonts w:ascii="宋体" w:eastAsia="PMingLiU" w:hAnsi="宋体" w:hint="eastAsia"/>
          <w:sz w:val="24"/>
          <w:szCs w:val="24"/>
          <w:lang w:eastAsia="zh-TW"/>
        </w:rPr>
        <w:t>會議由主任委員主持，主任委員不能出席時應委托另一名獨立非執行董事委員主持會議。</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第二十條</w:t>
      </w:r>
      <w:r w:rsidRPr="0016620E">
        <w:rPr>
          <w:rFonts w:eastAsia="PMingLiU"/>
          <w:szCs w:val="24"/>
          <w:lang w:eastAsia="zh-TW"/>
        </w:rPr>
        <w:t xml:space="preserve">  </w:t>
      </w:r>
      <w:r w:rsidRPr="0016620E">
        <w:rPr>
          <w:rFonts w:ascii="宋体" w:eastAsia="PMingLiU" w:hAnsi="宋体" w:hint="eastAsia"/>
          <w:sz w:val="24"/>
          <w:szCs w:val="24"/>
          <w:lang w:eastAsia="zh-TW"/>
        </w:rPr>
        <w:t>會議作出的决議，必須經兩名或兩名以上的委員通過方爲有效。</w:t>
      </w:r>
      <w:r w:rsidR="000E1330">
        <w:rPr>
          <w:rFonts w:ascii="宋体" w:hAnsi="宋体" w:hint="eastAsia"/>
          <w:sz w:val="24"/>
          <w:szCs w:val="24"/>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lastRenderedPageBreak/>
        <w:t>第二十一條</w:t>
      </w:r>
      <w:r w:rsidRPr="0016620E">
        <w:rPr>
          <w:rFonts w:eastAsia="PMingLiU"/>
          <w:szCs w:val="24"/>
          <w:lang w:eastAsia="zh-TW"/>
        </w:rPr>
        <w:t xml:space="preserve">  </w:t>
      </w:r>
      <w:r w:rsidRPr="0016620E">
        <w:rPr>
          <w:rFonts w:ascii="宋体" w:eastAsia="PMingLiU" w:hAnsi="宋体" w:hint="eastAsia"/>
          <w:sz w:val="24"/>
          <w:szCs w:val="24"/>
          <w:lang w:eastAsia="zh-TW"/>
        </w:rPr>
        <w:t>審計委員會工作小組成員可列席審計委員會會議，必要時亦可邀請本公司董事、監事及其他高級管理人員列席會議。</w:t>
      </w:r>
      <w:r w:rsidR="000E1330">
        <w:rPr>
          <w:rFonts w:ascii="宋体" w:hAnsi="宋体" w:hint="eastAsia"/>
          <w:sz w:val="24"/>
          <w:szCs w:val="24"/>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第二十二條</w:t>
      </w:r>
      <w:r w:rsidRPr="0016620E">
        <w:rPr>
          <w:rFonts w:eastAsia="PMingLiU"/>
          <w:szCs w:val="24"/>
          <w:lang w:eastAsia="zh-TW"/>
        </w:rPr>
        <w:t xml:space="preserve">  </w:t>
      </w:r>
      <w:r w:rsidRPr="0016620E">
        <w:rPr>
          <w:rFonts w:ascii="宋体" w:eastAsia="PMingLiU" w:hAnsi="宋体" w:hint="eastAsia"/>
          <w:sz w:val="24"/>
          <w:szCs w:val="24"/>
          <w:lang w:eastAsia="zh-TW"/>
        </w:rPr>
        <w:t>本公司向審計委員會提供充足的資源以履行其職責。如有必要，審計委員會可以聘請中介機構爲其决策提供獨立的專業意見，有關費用由本公司承擔。</w:t>
      </w:r>
      <w:r w:rsidR="000E1330">
        <w:rPr>
          <w:rFonts w:ascii="宋体" w:hAnsi="宋体" w:hint="eastAsia"/>
          <w:sz w:val="24"/>
          <w:szCs w:val="24"/>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第二十三條</w:t>
      </w:r>
      <w:r w:rsidRPr="0016620E">
        <w:rPr>
          <w:rFonts w:eastAsia="PMingLiU"/>
          <w:szCs w:val="24"/>
          <w:lang w:eastAsia="zh-TW"/>
        </w:rPr>
        <w:t xml:space="preserve">  </w:t>
      </w:r>
      <w:r w:rsidRPr="0016620E">
        <w:rPr>
          <w:rFonts w:ascii="宋体" w:eastAsia="PMingLiU" w:hAnsi="宋体" w:hint="eastAsia"/>
          <w:sz w:val="24"/>
          <w:szCs w:val="24"/>
          <w:lang w:eastAsia="zh-TW"/>
        </w:rPr>
        <w:t>審計委員會會議的召開程序、表决方式和會議通過的議案必須遵循有關法律、法規、上市規則、本公司章程及本實施細則的規定。</w:t>
      </w:r>
      <w:r w:rsidR="000E1330">
        <w:rPr>
          <w:rFonts w:ascii="宋体" w:hAnsi="宋体" w:hint="eastAsia"/>
          <w:sz w:val="24"/>
          <w:szCs w:val="24"/>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第二十四條</w:t>
      </w:r>
      <w:r w:rsidRPr="0016620E">
        <w:rPr>
          <w:rFonts w:eastAsia="PMingLiU"/>
          <w:szCs w:val="24"/>
          <w:lang w:eastAsia="zh-TW"/>
        </w:rPr>
        <w:t xml:space="preserve">  </w:t>
      </w:r>
      <w:r w:rsidRPr="0016620E">
        <w:rPr>
          <w:rFonts w:ascii="宋体" w:eastAsia="PMingLiU" w:hAnsi="宋体" w:hint="eastAsia"/>
          <w:sz w:val="24"/>
          <w:szCs w:val="24"/>
          <w:lang w:eastAsia="zh-TW"/>
        </w:rPr>
        <w:t>審計委員會會議應當有會議記錄，會議記錄應當真實、準確、完整，充分反映與會人員對所審議事項提出的意見。出席會議的委員應當在會議記錄上簽名。</w:t>
      </w:r>
      <w:r w:rsidR="000E1330">
        <w:rPr>
          <w:rFonts w:ascii="宋体" w:hAnsi="宋体" w:hint="eastAsia"/>
          <w:sz w:val="24"/>
          <w:szCs w:val="24"/>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第二十五條</w:t>
      </w:r>
      <w:r w:rsidRPr="0016620E">
        <w:rPr>
          <w:rFonts w:eastAsia="PMingLiU"/>
          <w:szCs w:val="24"/>
          <w:lang w:eastAsia="zh-TW"/>
        </w:rPr>
        <w:t xml:space="preserve">  </w:t>
      </w:r>
      <w:r w:rsidRPr="0016620E">
        <w:rPr>
          <w:rFonts w:ascii="宋体" w:eastAsia="PMingLiU" w:hAnsi="宋体" w:hint="eastAsia"/>
          <w:sz w:val="24"/>
          <w:szCs w:val="24"/>
          <w:lang w:eastAsia="zh-TW"/>
        </w:rPr>
        <w:t>審計委員會會議通過的議案及表决結果，應以書面形式報本公司董事會。</w:t>
      </w:r>
      <w:r w:rsidR="000E1330">
        <w:rPr>
          <w:rFonts w:ascii="宋体" w:hAnsi="宋体" w:hint="eastAsia"/>
          <w:sz w:val="24"/>
          <w:szCs w:val="24"/>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第二十六條</w:t>
      </w:r>
      <w:r w:rsidRPr="0016620E">
        <w:rPr>
          <w:rFonts w:eastAsia="PMingLiU"/>
          <w:szCs w:val="24"/>
          <w:lang w:eastAsia="zh-TW"/>
        </w:rPr>
        <w:t xml:space="preserve">  </w:t>
      </w:r>
      <w:r w:rsidRPr="0016620E">
        <w:rPr>
          <w:rFonts w:ascii="宋体" w:eastAsia="PMingLiU" w:hAnsi="宋体" w:hint="eastAsia"/>
          <w:sz w:val="24"/>
          <w:szCs w:val="24"/>
          <w:lang w:eastAsia="zh-TW"/>
        </w:rPr>
        <w:t>出席會議的委員均對會議所議事項負有保密義務，不得擅自披露有關信息。</w:t>
      </w:r>
      <w:r w:rsidR="000E1330">
        <w:rPr>
          <w:rFonts w:ascii="宋体" w:hAnsi="宋体" w:hint="eastAsia"/>
          <w:sz w:val="24"/>
          <w:szCs w:val="24"/>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bCs/>
          <w:sz w:val="24"/>
          <w:szCs w:val="24"/>
          <w:lang w:eastAsia="zh-TW"/>
        </w:rPr>
        <w:t>第二十七條</w:t>
      </w:r>
      <w:r w:rsidRPr="0016620E">
        <w:rPr>
          <w:rFonts w:eastAsia="PMingLiU"/>
          <w:szCs w:val="24"/>
          <w:lang w:eastAsia="zh-TW"/>
        </w:rPr>
        <w:t xml:space="preserve">  </w:t>
      </w:r>
      <w:r w:rsidRPr="0016620E">
        <w:rPr>
          <w:rFonts w:ascii="宋体" w:eastAsia="PMingLiU" w:hAnsi="宋体" w:hint="eastAsia"/>
          <w:sz w:val="24"/>
          <w:szCs w:val="24"/>
          <w:lang w:eastAsia="zh-TW"/>
        </w:rPr>
        <w:t>審計委員會會議檔案</w:t>
      </w:r>
      <w:r w:rsidRPr="0016620E">
        <w:rPr>
          <w:rFonts w:ascii="宋体" w:eastAsia="PMingLiU" w:hAnsi="宋体"/>
          <w:sz w:val="24"/>
          <w:szCs w:val="24"/>
          <w:lang w:eastAsia="zh-TW"/>
        </w:rPr>
        <w:t>,</w:t>
      </w:r>
      <w:r w:rsidRPr="0016620E">
        <w:rPr>
          <w:rFonts w:ascii="宋体" w:eastAsia="PMingLiU" w:hAnsi="宋体" w:hint="eastAsia"/>
          <w:sz w:val="24"/>
          <w:szCs w:val="24"/>
          <w:lang w:eastAsia="zh-TW"/>
        </w:rPr>
        <w:t>包括會議通知和會議材料、委員代爲出席的授權委托書、表决票、經與會委員簽字確認的會議决議、會議記錄等，應至少保存十年。</w:t>
      </w:r>
    </w:p>
    <w:p w:rsidR="0097330E" w:rsidRDefault="0016620E" w:rsidP="001705C6">
      <w:pPr>
        <w:autoSpaceDE w:val="0"/>
        <w:autoSpaceDN w:val="0"/>
        <w:spacing w:beforeLines="100" w:before="312"/>
        <w:jc w:val="center"/>
        <w:rPr>
          <w:rFonts w:ascii="宋体" w:hAnsi="宋体"/>
          <w:b/>
          <w:bCs/>
          <w:color w:val="000000"/>
          <w:sz w:val="28"/>
          <w:szCs w:val="28"/>
        </w:rPr>
      </w:pPr>
      <w:r w:rsidRPr="0016620E">
        <w:rPr>
          <w:rFonts w:ascii="宋体" w:eastAsia="PMingLiU" w:hAnsi="宋体" w:hint="eastAsia"/>
          <w:b/>
          <w:bCs/>
          <w:color w:val="000000"/>
          <w:sz w:val="28"/>
          <w:szCs w:val="28"/>
          <w:lang w:eastAsia="zh-TW"/>
        </w:rPr>
        <w:t>第五章</w:t>
      </w:r>
      <w:r w:rsidRPr="0016620E">
        <w:rPr>
          <w:rFonts w:ascii="宋体" w:eastAsia="PMingLiU" w:hAnsi="宋体"/>
          <w:b/>
          <w:bCs/>
          <w:color w:val="000000"/>
          <w:sz w:val="28"/>
          <w:szCs w:val="28"/>
          <w:lang w:eastAsia="zh-TW"/>
        </w:rPr>
        <w:t xml:space="preserve">  </w:t>
      </w:r>
      <w:r w:rsidRPr="0016620E">
        <w:rPr>
          <w:rFonts w:ascii="宋体" w:eastAsia="PMingLiU" w:hAnsi="宋体" w:hint="eastAsia"/>
          <w:b/>
          <w:bCs/>
          <w:color w:val="000000"/>
          <w:sz w:val="28"/>
          <w:szCs w:val="28"/>
          <w:lang w:eastAsia="zh-TW"/>
        </w:rPr>
        <w:t>附則</w:t>
      </w:r>
      <w:r w:rsidR="000E1330">
        <w:rPr>
          <w:rFonts w:ascii="宋体" w:hAnsi="宋体" w:hint="eastAsia"/>
          <w:b/>
          <w:bCs/>
          <w:color w:val="000000"/>
          <w:sz w:val="28"/>
          <w:szCs w:val="28"/>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第二十八條</w:t>
      </w:r>
      <w:r w:rsidRPr="0016620E">
        <w:rPr>
          <w:rFonts w:eastAsia="PMingLiU"/>
          <w:szCs w:val="24"/>
          <w:lang w:eastAsia="zh-TW"/>
        </w:rPr>
        <w:t xml:space="preserve">  </w:t>
      </w:r>
      <w:r w:rsidRPr="0016620E">
        <w:rPr>
          <w:rFonts w:ascii="宋体" w:eastAsia="PMingLiU" w:hAnsi="宋体" w:hint="eastAsia"/>
          <w:sz w:val="24"/>
          <w:szCs w:val="24"/>
          <w:lang w:eastAsia="zh-TW"/>
        </w:rPr>
        <w:t>本實施細則未盡事宜，按國家有關法律、法規和公司章程以及本公司股票上市所在地證券交易所各自上市規則的有關規定執行。</w:t>
      </w:r>
      <w:r w:rsidR="000E1330">
        <w:rPr>
          <w:rFonts w:ascii="宋体" w:hAnsi="宋体" w:hint="eastAsia"/>
          <w:sz w:val="24"/>
          <w:szCs w:val="24"/>
        </w:rPr>
        <w:t xml:space="preserve"> </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第二十九條</w:t>
      </w:r>
      <w:r w:rsidRPr="0016620E">
        <w:rPr>
          <w:rFonts w:eastAsia="PMingLiU"/>
          <w:szCs w:val="24"/>
          <w:lang w:eastAsia="zh-TW"/>
        </w:rPr>
        <w:t xml:space="preserve">  </w:t>
      </w:r>
      <w:r w:rsidRPr="0016620E">
        <w:rPr>
          <w:rFonts w:ascii="宋体" w:eastAsia="PMingLiU" w:hAnsi="宋体" w:hint="eastAsia"/>
          <w:sz w:val="24"/>
          <w:szCs w:val="24"/>
          <w:lang w:eastAsia="zh-TW"/>
        </w:rPr>
        <w:t>本實施細則與國家有關法律、法規相悖的，按國家有關法律、法規執行。</w:t>
      </w:r>
    </w:p>
    <w:p w:rsidR="0097330E" w:rsidRDefault="0016620E" w:rsidP="0016620E">
      <w:pPr>
        <w:spacing w:beforeLines="50" w:before="156" w:line="520" w:lineRule="exact"/>
        <w:ind w:firstLineChars="200" w:firstLine="480"/>
        <w:jc w:val="left"/>
        <w:rPr>
          <w:rFonts w:ascii="宋体" w:hAnsi="宋体"/>
          <w:sz w:val="24"/>
          <w:szCs w:val="24"/>
        </w:rPr>
      </w:pPr>
      <w:r w:rsidRPr="0016620E">
        <w:rPr>
          <w:rFonts w:ascii="宋体" w:eastAsia="PMingLiU" w:hAnsi="宋体" w:hint="eastAsia"/>
          <w:b/>
          <w:sz w:val="24"/>
          <w:szCs w:val="24"/>
          <w:lang w:eastAsia="zh-TW"/>
        </w:rPr>
        <w:t>第三十條</w:t>
      </w:r>
      <w:r w:rsidRPr="0016620E">
        <w:rPr>
          <w:rFonts w:eastAsia="PMingLiU"/>
          <w:szCs w:val="24"/>
          <w:lang w:eastAsia="zh-TW"/>
        </w:rPr>
        <w:t xml:space="preserve">  </w:t>
      </w:r>
      <w:r w:rsidRPr="0016620E">
        <w:rPr>
          <w:rFonts w:ascii="宋体" w:eastAsia="PMingLiU" w:hAnsi="宋体" w:hint="eastAsia"/>
          <w:sz w:val="24"/>
          <w:szCs w:val="24"/>
          <w:lang w:eastAsia="zh-TW"/>
        </w:rPr>
        <w:t>本實施細則經董事會審議通過後生效，由董事會負責解釋、修</w:t>
      </w:r>
      <w:r w:rsidRPr="0016620E">
        <w:rPr>
          <w:rFonts w:ascii="宋体" w:eastAsia="PMingLiU" w:hAnsi="宋体" w:hint="eastAsia"/>
          <w:sz w:val="24"/>
          <w:szCs w:val="24"/>
          <w:lang w:eastAsia="zh-TW"/>
        </w:rPr>
        <w:lastRenderedPageBreak/>
        <w:t>訂。</w:t>
      </w:r>
      <w:r w:rsidR="000E1330">
        <w:rPr>
          <w:rFonts w:ascii="宋体" w:hAnsi="宋体" w:hint="eastAsia"/>
          <w:sz w:val="24"/>
          <w:szCs w:val="24"/>
        </w:rPr>
        <w:t xml:space="preserve"> </w:t>
      </w:r>
    </w:p>
    <w:p w:rsidR="0097330E" w:rsidRPr="001705C6" w:rsidRDefault="0097330E">
      <w:pPr>
        <w:spacing w:line="560" w:lineRule="exact"/>
        <w:jc w:val="left"/>
        <w:rPr>
          <w:rFonts w:ascii="宋体" w:hAnsi="宋体" w:cs="仿宋_GB2312"/>
          <w:sz w:val="24"/>
          <w:szCs w:val="24"/>
        </w:rPr>
      </w:pPr>
    </w:p>
    <w:p w:rsidR="0097330E" w:rsidRDefault="0097330E">
      <w:pPr>
        <w:jc w:val="left"/>
        <w:rPr>
          <w:rFonts w:ascii="宋体" w:hAnsi="宋体"/>
          <w:sz w:val="24"/>
          <w:szCs w:val="24"/>
        </w:rPr>
      </w:pPr>
    </w:p>
    <w:sectPr w:rsidR="0097330E">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F0" w:rsidRDefault="00F250F0">
      <w:r>
        <w:separator/>
      </w:r>
    </w:p>
  </w:endnote>
  <w:endnote w:type="continuationSeparator" w:id="0">
    <w:p w:rsidR="00F250F0" w:rsidRDefault="00F2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0E" w:rsidRDefault="000E1330">
    <w:pPr>
      <w:pStyle w:val="a8"/>
      <w:jc w:val="center"/>
    </w:pPr>
    <w:r>
      <w:fldChar w:fldCharType="begin"/>
    </w:r>
    <w:r>
      <w:instrText xml:space="preserve"> PAGE   \* MERGEFORMAT </w:instrText>
    </w:r>
    <w:r>
      <w:fldChar w:fldCharType="separate"/>
    </w:r>
    <w:r w:rsidR="00A83B6A" w:rsidRPr="00A83B6A">
      <w:rPr>
        <w:rFonts w:eastAsia="PMingLiU"/>
        <w:noProof/>
        <w:lang w:val="zh-CN" w:eastAsia="zh-TW"/>
      </w:rPr>
      <w:t>2</w:t>
    </w:r>
    <w:r>
      <w:rPr>
        <w:lang w:val="zh-CN"/>
      </w:rPr>
      <w:fldChar w:fldCharType="end"/>
    </w:r>
  </w:p>
  <w:p w:rsidR="0097330E" w:rsidRDefault="009733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F0" w:rsidRDefault="00F250F0">
      <w:r>
        <w:separator/>
      </w:r>
    </w:p>
  </w:footnote>
  <w:footnote w:type="continuationSeparator" w:id="0">
    <w:p w:rsidR="00F250F0" w:rsidRDefault="00F25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2YjhkNWJkNmVkN2U1YWU4OTc2MTljOWZmY2JkZGUifQ=="/>
  </w:docVars>
  <w:rsids>
    <w:rsidRoot w:val="00172A27"/>
    <w:rsid w:val="000004AA"/>
    <w:rsid w:val="00005B0F"/>
    <w:rsid w:val="000133A4"/>
    <w:rsid w:val="00013E41"/>
    <w:rsid w:val="00023975"/>
    <w:rsid w:val="00027134"/>
    <w:rsid w:val="00027269"/>
    <w:rsid w:val="000319F1"/>
    <w:rsid w:val="00032060"/>
    <w:rsid w:val="00035CBA"/>
    <w:rsid w:val="00045D09"/>
    <w:rsid w:val="00056CC6"/>
    <w:rsid w:val="00061937"/>
    <w:rsid w:val="00066B85"/>
    <w:rsid w:val="00076458"/>
    <w:rsid w:val="00081470"/>
    <w:rsid w:val="00082406"/>
    <w:rsid w:val="000966A5"/>
    <w:rsid w:val="000A0A8D"/>
    <w:rsid w:val="000A2EB3"/>
    <w:rsid w:val="000A3B3C"/>
    <w:rsid w:val="000B076F"/>
    <w:rsid w:val="000B6D3C"/>
    <w:rsid w:val="000C477C"/>
    <w:rsid w:val="000D5255"/>
    <w:rsid w:val="000E047F"/>
    <w:rsid w:val="000E0ECD"/>
    <w:rsid w:val="000E1330"/>
    <w:rsid w:val="000F602E"/>
    <w:rsid w:val="000F7440"/>
    <w:rsid w:val="000F7699"/>
    <w:rsid w:val="00100A5D"/>
    <w:rsid w:val="00102679"/>
    <w:rsid w:val="001223A9"/>
    <w:rsid w:val="001272EB"/>
    <w:rsid w:val="0013524E"/>
    <w:rsid w:val="001366BF"/>
    <w:rsid w:val="00145B82"/>
    <w:rsid w:val="0014602C"/>
    <w:rsid w:val="00146235"/>
    <w:rsid w:val="001477C3"/>
    <w:rsid w:val="001503BC"/>
    <w:rsid w:val="001512A6"/>
    <w:rsid w:val="001544E4"/>
    <w:rsid w:val="001572F0"/>
    <w:rsid w:val="0016620E"/>
    <w:rsid w:val="00166C17"/>
    <w:rsid w:val="00166CD4"/>
    <w:rsid w:val="00167CFD"/>
    <w:rsid w:val="001705C6"/>
    <w:rsid w:val="00172A27"/>
    <w:rsid w:val="001756AA"/>
    <w:rsid w:val="00175C43"/>
    <w:rsid w:val="001850DA"/>
    <w:rsid w:val="001863E8"/>
    <w:rsid w:val="001906A2"/>
    <w:rsid w:val="00194713"/>
    <w:rsid w:val="00195FF4"/>
    <w:rsid w:val="001979E8"/>
    <w:rsid w:val="00197E38"/>
    <w:rsid w:val="001A1445"/>
    <w:rsid w:val="001A59D8"/>
    <w:rsid w:val="001A6F31"/>
    <w:rsid w:val="001B08CE"/>
    <w:rsid w:val="001B26EC"/>
    <w:rsid w:val="001B2D92"/>
    <w:rsid w:val="001B34B2"/>
    <w:rsid w:val="001C044D"/>
    <w:rsid w:val="001C0DAB"/>
    <w:rsid w:val="001C1A39"/>
    <w:rsid w:val="001C3CC8"/>
    <w:rsid w:val="001C4A04"/>
    <w:rsid w:val="001C4C9B"/>
    <w:rsid w:val="001C4E2F"/>
    <w:rsid w:val="001C5280"/>
    <w:rsid w:val="001C7436"/>
    <w:rsid w:val="001D1471"/>
    <w:rsid w:val="001D7BB0"/>
    <w:rsid w:val="001E7855"/>
    <w:rsid w:val="001F3178"/>
    <w:rsid w:val="001F36B2"/>
    <w:rsid w:val="001F53E1"/>
    <w:rsid w:val="001F5511"/>
    <w:rsid w:val="001F6988"/>
    <w:rsid w:val="001F7842"/>
    <w:rsid w:val="00202267"/>
    <w:rsid w:val="00211890"/>
    <w:rsid w:val="002119CF"/>
    <w:rsid w:val="002124B1"/>
    <w:rsid w:val="002140F2"/>
    <w:rsid w:val="00214AA5"/>
    <w:rsid w:val="00230384"/>
    <w:rsid w:val="0023198A"/>
    <w:rsid w:val="00236ED9"/>
    <w:rsid w:val="00242B14"/>
    <w:rsid w:val="002472B1"/>
    <w:rsid w:val="002573BF"/>
    <w:rsid w:val="00266BB8"/>
    <w:rsid w:val="00271A3B"/>
    <w:rsid w:val="002726DB"/>
    <w:rsid w:val="00274E19"/>
    <w:rsid w:val="002759FC"/>
    <w:rsid w:val="002776BC"/>
    <w:rsid w:val="0028300C"/>
    <w:rsid w:val="002845A1"/>
    <w:rsid w:val="002875DA"/>
    <w:rsid w:val="00291D9A"/>
    <w:rsid w:val="00297EF2"/>
    <w:rsid w:val="002A01F3"/>
    <w:rsid w:val="002A343B"/>
    <w:rsid w:val="002B038C"/>
    <w:rsid w:val="002B1C90"/>
    <w:rsid w:val="002B380A"/>
    <w:rsid w:val="002B655F"/>
    <w:rsid w:val="002D0AE2"/>
    <w:rsid w:val="002D0F1B"/>
    <w:rsid w:val="002E3EA5"/>
    <w:rsid w:val="002E4988"/>
    <w:rsid w:val="002E540E"/>
    <w:rsid w:val="002E7F65"/>
    <w:rsid w:val="002F7997"/>
    <w:rsid w:val="00304F25"/>
    <w:rsid w:val="00321075"/>
    <w:rsid w:val="003218AD"/>
    <w:rsid w:val="00322B95"/>
    <w:rsid w:val="0032738A"/>
    <w:rsid w:val="00336BA0"/>
    <w:rsid w:val="00337921"/>
    <w:rsid w:val="003420DD"/>
    <w:rsid w:val="00350883"/>
    <w:rsid w:val="0035384D"/>
    <w:rsid w:val="00357659"/>
    <w:rsid w:val="00361206"/>
    <w:rsid w:val="00363C95"/>
    <w:rsid w:val="00370352"/>
    <w:rsid w:val="00370D59"/>
    <w:rsid w:val="00373249"/>
    <w:rsid w:val="00377393"/>
    <w:rsid w:val="00377E2C"/>
    <w:rsid w:val="00380AEA"/>
    <w:rsid w:val="003863E3"/>
    <w:rsid w:val="00387E8A"/>
    <w:rsid w:val="003945B2"/>
    <w:rsid w:val="003956A7"/>
    <w:rsid w:val="003A1C75"/>
    <w:rsid w:val="003A2BD8"/>
    <w:rsid w:val="003A37F1"/>
    <w:rsid w:val="003A6640"/>
    <w:rsid w:val="003B0AA8"/>
    <w:rsid w:val="003B19F3"/>
    <w:rsid w:val="003C186C"/>
    <w:rsid w:val="003C6851"/>
    <w:rsid w:val="003D05AC"/>
    <w:rsid w:val="003D2353"/>
    <w:rsid w:val="003D68B8"/>
    <w:rsid w:val="003E465B"/>
    <w:rsid w:val="003E59A5"/>
    <w:rsid w:val="003F20BC"/>
    <w:rsid w:val="003F513C"/>
    <w:rsid w:val="003F5CF0"/>
    <w:rsid w:val="003F63EC"/>
    <w:rsid w:val="00407B2F"/>
    <w:rsid w:val="004176E3"/>
    <w:rsid w:val="00442448"/>
    <w:rsid w:val="004449C4"/>
    <w:rsid w:val="004461CA"/>
    <w:rsid w:val="004556D9"/>
    <w:rsid w:val="00457299"/>
    <w:rsid w:val="00460F6D"/>
    <w:rsid w:val="00463820"/>
    <w:rsid w:val="00464A53"/>
    <w:rsid w:val="00464F52"/>
    <w:rsid w:val="0046549C"/>
    <w:rsid w:val="00466A20"/>
    <w:rsid w:val="0047243D"/>
    <w:rsid w:val="004759A6"/>
    <w:rsid w:val="00477698"/>
    <w:rsid w:val="004914AC"/>
    <w:rsid w:val="004A0D0F"/>
    <w:rsid w:val="004A296C"/>
    <w:rsid w:val="004B0B0D"/>
    <w:rsid w:val="004B1CBC"/>
    <w:rsid w:val="004B616B"/>
    <w:rsid w:val="004C0F4E"/>
    <w:rsid w:val="004C54A0"/>
    <w:rsid w:val="004D144C"/>
    <w:rsid w:val="004D5FDB"/>
    <w:rsid w:val="004E1615"/>
    <w:rsid w:val="004E5FA0"/>
    <w:rsid w:val="004E61D8"/>
    <w:rsid w:val="004E73A4"/>
    <w:rsid w:val="004F7293"/>
    <w:rsid w:val="00513181"/>
    <w:rsid w:val="00514506"/>
    <w:rsid w:val="00514B6D"/>
    <w:rsid w:val="0051689A"/>
    <w:rsid w:val="00521665"/>
    <w:rsid w:val="00521757"/>
    <w:rsid w:val="00525C25"/>
    <w:rsid w:val="00525CCF"/>
    <w:rsid w:val="00526975"/>
    <w:rsid w:val="00532BE2"/>
    <w:rsid w:val="00533418"/>
    <w:rsid w:val="00533741"/>
    <w:rsid w:val="0053564E"/>
    <w:rsid w:val="0053689C"/>
    <w:rsid w:val="005407E2"/>
    <w:rsid w:val="00540F42"/>
    <w:rsid w:val="005424F6"/>
    <w:rsid w:val="0055265D"/>
    <w:rsid w:val="0056423D"/>
    <w:rsid w:val="00566BA0"/>
    <w:rsid w:val="00571521"/>
    <w:rsid w:val="005716E8"/>
    <w:rsid w:val="0057699F"/>
    <w:rsid w:val="00586A1E"/>
    <w:rsid w:val="00590071"/>
    <w:rsid w:val="00590CEC"/>
    <w:rsid w:val="00596812"/>
    <w:rsid w:val="00597B42"/>
    <w:rsid w:val="005A34D4"/>
    <w:rsid w:val="005B2358"/>
    <w:rsid w:val="005B289A"/>
    <w:rsid w:val="005B33EA"/>
    <w:rsid w:val="005B621A"/>
    <w:rsid w:val="005C38C6"/>
    <w:rsid w:val="005D16AB"/>
    <w:rsid w:val="005D2650"/>
    <w:rsid w:val="005E01CB"/>
    <w:rsid w:val="005E0EC9"/>
    <w:rsid w:val="005E16F9"/>
    <w:rsid w:val="005E405D"/>
    <w:rsid w:val="005E4872"/>
    <w:rsid w:val="005E5374"/>
    <w:rsid w:val="005F1330"/>
    <w:rsid w:val="005F34B1"/>
    <w:rsid w:val="005F39FD"/>
    <w:rsid w:val="005F4E68"/>
    <w:rsid w:val="00600F9E"/>
    <w:rsid w:val="00603A38"/>
    <w:rsid w:val="00607531"/>
    <w:rsid w:val="00610538"/>
    <w:rsid w:val="00610BC8"/>
    <w:rsid w:val="00610DCC"/>
    <w:rsid w:val="00613CAD"/>
    <w:rsid w:val="00613F0E"/>
    <w:rsid w:val="00630695"/>
    <w:rsid w:val="00645A64"/>
    <w:rsid w:val="006561CB"/>
    <w:rsid w:val="0066109E"/>
    <w:rsid w:val="00662845"/>
    <w:rsid w:val="00667DA4"/>
    <w:rsid w:val="00674A84"/>
    <w:rsid w:val="00681774"/>
    <w:rsid w:val="0068343C"/>
    <w:rsid w:val="00684C7D"/>
    <w:rsid w:val="0068774A"/>
    <w:rsid w:val="00696C4D"/>
    <w:rsid w:val="00696E5F"/>
    <w:rsid w:val="006A100B"/>
    <w:rsid w:val="006A3AEE"/>
    <w:rsid w:val="006A527F"/>
    <w:rsid w:val="006B26AF"/>
    <w:rsid w:val="006B3579"/>
    <w:rsid w:val="006B599B"/>
    <w:rsid w:val="006C4156"/>
    <w:rsid w:val="006C70B6"/>
    <w:rsid w:val="006D15DF"/>
    <w:rsid w:val="006D1BD4"/>
    <w:rsid w:val="006D37AC"/>
    <w:rsid w:val="006D3B61"/>
    <w:rsid w:val="006D46EA"/>
    <w:rsid w:val="006D69A4"/>
    <w:rsid w:val="006E50E9"/>
    <w:rsid w:val="006F2254"/>
    <w:rsid w:val="006F49C0"/>
    <w:rsid w:val="00702CD1"/>
    <w:rsid w:val="007051CC"/>
    <w:rsid w:val="00712615"/>
    <w:rsid w:val="00717439"/>
    <w:rsid w:val="00720002"/>
    <w:rsid w:val="00720F7A"/>
    <w:rsid w:val="007211DE"/>
    <w:rsid w:val="007229CC"/>
    <w:rsid w:val="00725337"/>
    <w:rsid w:val="00725744"/>
    <w:rsid w:val="00733697"/>
    <w:rsid w:val="00743F4E"/>
    <w:rsid w:val="007451DC"/>
    <w:rsid w:val="00755AB5"/>
    <w:rsid w:val="00760AD6"/>
    <w:rsid w:val="00767581"/>
    <w:rsid w:val="00773A1B"/>
    <w:rsid w:val="007751C1"/>
    <w:rsid w:val="00776890"/>
    <w:rsid w:val="00777B72"/>
    <w:rsid w:val="00784B65"/>
    <w:rsid w:val="007878A2"/>
    <w:rsid w:val="007907CB"/>
    <w:rsid w:val="00790C2B"/>
    <w:rsid w:val="00794D6B"/>
    <w:rsid w:val="0079752B"/>
    <w:rsid w:val="007A4AB3"/>
    <w:rsid w:val="007B029E"/>
    <w:rsid w:val="007B03EA"/>
    <w:rsid w:val="007B3F20"/>
    <w:rsid w:val="007C26F0"/>
    <w:rsid w:val="007C2885"/>
    <w:rsid w:val="007C7B7D"/>
    <w:rsid w:val="007D027C"/>
    <w:rsid w:val="007D247F"/>
    <w:rsid w:val="007D3487"/>
    <w:rsid w:val="007D3FBE"/>
    <w:rsid w:val="007D4D31"/>
    <w:rsid w:val="007D723D"/>
    <w:rsid w:val="007D7C4C"/>
    <w:rsid w:val="007E2053"/>
    <w:rsid w:val="007E2741"/>
    <w:rsid w:val="007E3757"/>
    <w:rsid w:val="007E3ADE"/>
    <w:rsid w:val="007E3F3F"/>
    <w:rsid w:val="007E41B0"/>
    <w:rsid w:val="007E4878"/>
    <w:rsid w:val="007E643E"/>
    <w:rsid w:val="007E70BF"/>
    <w:rsid w:val="007E7DDC"/>
    <w:rsid w:val="007F42E0"/>
    <w:rsid w:val="007F43AC"/>
    <w:rsid w:val="00804B47"/>
    <w:rsid w:val="00815869"/>
    <w:rsid w:val="00816E8B"/>
    <w:rsid w:val="00817567"/>
    <w:rsid w:val="00821582"/>
    <w:rsid w:val="0082249F"/>
    <w:rsid w:val="008239C4"/>
    <w:rsid w:val="008260B4"/>
    <w:rsid w:val="0083044A"/>
    <w:rsid w:val="0083312E"/>
    <w:rsid w:val="00836F6F"/>
    <w:rsid w:val="00845866"/>
    <w:rsid w:val="00845C64"/>
    <w:rsid w:val="00846E48"/>
    <w:rsid w:val="00846FCE"/>
    <w:rsid w:val="008470C1"/>
    <w:rsid w:val="00853EFE"/>
    <w:rsid w:val="00856182"/>
    <w:rsid w:val="00862710"/>
    <w:rsid w:val="00866190"/>
    <w:rsid w:val="008673C4"/>
    <w:rsid w:val="00867675"/>
    <w:rsid w:val="008708A1"/>
    <w:rsid w:val="00871AE9"/>
    <w:rsid w:val="0087273C"/>
    <w:rsid w:val="00874882"/>
    <w:rsid w:val="00880DC1"/>
    <w:rsid w:val="0088243B"/>
    <w:rsid w:val="00885F1F"/>
    <w:rsid w:val="00894779"/>
    <w:rsid w:val="00894DED"/>
    <w:rsid w:val="008A09F3"/>
    <w:rsid w:val="008A318C"/>
    <w:rsid w:val="008A42BA"/>
    <w:rsid w:val="008B2DC4"/>
    <w:rsid w:val="008B61EF"/>
    <w:rsid w:val="008C2191"/>
    <w:rsid w:val="008C5020"/>
    <w:rsid w:val="008C632D"/>
    <w:rsid w:val="008D3065"/>
    <w:rsid w:val="008D484C"/>
    <w:rsid w:val="008E1AE6"/>
    <w:rsid w:val="008F067C"/>
    <w:rsid w:val="00905949"/>
    <w:rsid w:val="009158DC"/>
    <w:rsid w:val="00917F87"/>
    <w:rsid w:val="009224A0"/>
    <w:rsid w:val="00925945"/>
    <w:rsid w:val="00925E10"/>
    <w:rsid w:val="009271F5"/>
    <w:rsid w:val="009303C0"/>
    <w:rsid w:val="0094049B"/>
    <w:rsid w:val="00941864"/>
    <w:rsid w:val="00942BF4"/>
    <w:rsid w:val="00942D46"/>
    <w:rsid w:val="009443F4"/>
    <w:rsid w:val="00947839"/>
    <w:rsid w:val="0095641D"/>
    <w:rsid w:val="00961C39"/>
    <w:rsid w:val="0096473D"/>
    <w:rsid w:val="00967283"/>
    <w:rsid w:val="009715F0"/>
    <w:rsid w:val="0097330E"/>
    <w:rsid w:val="0098283B"/>
    <w:rsid w:val="009834C7"/>
    <w:rsid w:val="00995BF7"/>
    <w:rsid w:val="00995EA4"/>
    <w:rsid w:val="009A1437"/>
    <w:rsid w:val="009A17EF"/>
    <w:rsid w:val="009A1993"/>
    <w:rsid w:val="009A2787"/>
    <w:rsid w:val="009A2C43"/>
    <w:rsid w:val="009A3B06"/>
    <w:rsid w:val="009A7BDA"/>
    <w:rsid w:val="009B0870"/>
    <w:rsid w:val="009C34ED"/>
    <w:rsid w:val="009C525F"/>
    <w:rsid w:val="009C6BD0"/>
    <w:rsid w:val="009D16A4"/>
    <w:rsid w:val="009D542A"/>
    <w:rsid w:val="009D5580"/>
    <w:rsid w:val="009D64F8"/>
    <w:rsid w:val="009D6BFD"/>
    <w:rsid w:val="009E2B32"/>
    <w:rsid w:val="009E5FF0"/>
    <w:rsid w:val="009E7AE6"/>
    <w:rsid w:val="009F14A5"/>
    <w:rsid w:val="009F45F2"/>
    <w:rsid w:val="009F462B"/>
    <w:rsid w:val="00A01416"/>
    <w:rsid w:val="00A0629A"/>
    <w:rsid w:val="00A1306C"/>
    <w:rsid w:val="00A145E4"/>
    <w:rsid w:val="00A16102"/>
    <w:rsid w:val="00A20C34"/>
    <w:rsid w:val="00A25460"/>
    <w:rsid w:val="00A25979"/>
    <w:rsid w:val="00A315FF"/>
    <w:rsid w:val="00A33BA5"/>
    <w:rsid w:val="00A36858"/>
    <w:rsid w:val="00A43C18"/>
    <w:rsid w:val="00A508E4"/>
    <w:rsid w:val="00A53931"/>
    <w:rsid w:val="00A57C20"/>
    <w:rsid w:val="00A643A7"/>
    <w:rsid w:val="00A6625F"/>
    <w:rsid w:val="00A71E16"/>
    <w:rsid w:val="00A74D88"/>
    <w:rsid w:val="00A75E9D"/>
    <w:rsid w:val="00A77102"/>
    <w:rsid w:val="00A77ACB"/>
    <w:rsid w:val="00A83AF2"/>
    <w:rsid w:val="00A83B6A"/>
    <w:rsid w:val="00A84B91"/>
    <w:rsid w:val="00A92927"/>
    <w:rsid w:val="00A93E91"/>
    <w:rsid w:val="00A94F4C"/>
    <w:rsid w:val="00A94FFB"/>
    <w:rsid w:val="00A95437"/>
    <w:rsid w:val="00AA05CB"/>
    <w:rsid w:val="00AA3CF4"/>
    <w:rsid w:val="00AB1E50"/>
    <w:rsid w:val="00AB5CCF"/>
    <w:rsid w:val="00AB5E7B"/>
    <w:rsid w:val="00AB79D2"/>
    <w:rsid w:val="00AC4C78"/>
    <w:rsid w:val="00AD1155"/>
    <w:rsid w:val="00AD1EBB"/>
    <w:rsid w:val="00AD2556"/>
    <w:rsid w:val="00AD5E74"/>
    <w:rsid w:val="00AD60B1"/>
    <w:rsid w:val="00AD6774"/>
    <w:rsid w:val="00AD7C8C"/>
    <w:rsid w:val="00AE438B"/>
    <w:rsid w:val="00AE5FD6"/>
    <w:rsid w:val="00AE744A"/>
    <w:rsid w:val="00AF2566"/>
    <w:rsid w:val="00AF2973"/>
    <w:rsid w:val="00AF38D3"/>
    <w:rsid w:val="00AF4524"/>
    <w:rsid w:val="00AF5052"/>
    <w:rsid w:val="00B01257"/>
    <w:rsid w:val="00B022F6"/>
    <w:rsid w:val="00B0275A"/>
    <w:rsid w:val="00B12943"/>
    <w:rsid w:val="00B24CF0"/>
    <w:rsid w:val="00B33EF1"/>
    <w:rsid w:val="00B34256"/>
    <w:rsid w:val="00B346D3"/>
    <w:rsid w:val="00B35E95"/>
    <w:rsid w:val="00B36484"/>
    <w:rsid w:val="00B409F4"/>
    <w:rsid w:val="00B41C16"/>
    <w:rsid w:val="00B4565E"/>
    <w:rsid w:val="00B45E19"/>
    <w:rsid w:val="00B5008A"/>
    <w:rsid w:val="00B506EE"/>
    <w:rsid w:val="00B53BC8"/>
    <w:rsid w:val="00B56D16"/>
    <w:rsid w:val="00B61CC2"/>
    <w:rsid w:val="00B73E79"/>
    <w:rsid w:val="00B80ED5"/>
    <w:rsid w:val="00B8647C"/>
    <w:rsid w:val="00B96F20"/>
    <w:rsid w:val="00BA1E70"/>
    <w:rsid w:val="00BA3E69"/>
    <w:rsid w:val="00BB0FA3"/>
    <w:rsid w:val="00BB492D"/>
    <w:rsid w:val="00BB5608"/>
    <w:rsid w:val="00BB7095"/>
    <w:rsid w:val="00BB7C14"/>
    <w:rsid w:val="00BC5828"/>
    <w:rsid w:val="00BC63DD"/>
    <w:rsid w:val="00BD09D7"/>
    <w:rsid w:val="00BD16B7"/>
    <w:rsid w:val="00BD50CB"/>
    <w:rsid w:val="00BD7E38"/>
    <w:rsid w:val="00BE044D"/>
    <w:rsid w:val="00BE42FC"/>
    <w:rsid w:val="00BF0A54"/>
    <w:rsid w:val="00BF15B9"/>
    <w:rsid w:val="00BF5281"/>
    <w:rsid w:val="00C038DC"/>
    <w:rsid w:val="00C2169F"/>
    <w:rsid w:val="00C21E94"/>
    <w:rsid w:val="00C23138"/>
    <w:rsid w:val="00C47CA6"/>
    <w:rsid w:val="00C52064"/>
    <w:rsid w:val="00C55A71"/>
    <w:rsid w:val="00C603D2"/>
    <w:rsid w:val="00C64EA5"/>
    <w:rsid w:val="00C67136"/>
    <w:rsid w:val="00C67E1C"/>
    <w:rsid w:val="00C73173"/>
    <w:rsid w:val="00C74AC8"/>
    <w:rsid w:val="00C75EE8"/>
    <w:rsid w:val="00C77A07"/>
    <w:rsid w:val="00C85262"/>
    <w:rsid w:val="00C8776C"/>
    <w:rsid w:val="00C912A2"/>
    <w:rsid w:val="00C9147C"/>
    <w:rsid w:val="00C92A9A"/>
    <w:rsid w:val="00C96B0B"/>
    <w:rsid w:val="00C96C72"/>
    <w:rsid w:val="00CA089B"/>
    <w:rsid w:val="00CA2050"/>
    <w:rsid w:val="00CA7F37"/>
    <w:rsid w:val="00CB381A"/>
    <w:rsid w:val="00CB5396"/>
    <w:rsid w:val="00CB7065"/>
    <w:rsid w:val="00CC1037"/>
    <w:rsid w:val="00CC4063"/>
    <w:rsid w:val="00CC6B8B"/>
    <w:rsid w:val="00CD10B5"/>
    <w:rsid w:val="00CD1AEC"/>
    <w:rsid w:val="00CD27D2"/>
    <w:rsid w:val="00CD70D8"/>
    <w:rsid w:val="00CE5F78"/>
    <w:rsid w:val="00CE60F4"/>
    <w:rsid w:val="00CE6CA0"/>
    <w:rsid w:val="00CE7A6C"/>
    <w:rsid w:val="00CF13C0"/>
    <w:rsid w:val="00CF7B1D"/>
    <w:rsid w:val="00D02012"/>
    <w:rsid w:val="00D02039"/>
    <w:rsid w:val="00D05F83"/>
    <w:rsid w:val="00D15656"/>
    <w:rsid w:val="00D17356"/>
    <w:rsid w:val="00D2090A"/>
    <w:rsid w:val="00D24F57"/>
    <w:rsid w:val="00D27868"/>
    <w:rsid w:val="00D308C3"/>
    <w:rsid w:val="00D42C5B"/>
    <w:rsid w:val="00D47CCB"/>
    <w:rsid w:val="00D507B4"/>
    <w:rsid w:val="00D53144"/>
    <w:rsid w:val="00D542D9"/>
    <w:rsid w:val="00D57E89"/>
    <w:rsid w:val="00D611B0"/>
    <w:rsid w:val="00D740FE"/>
    <w:rsid w:val="00D7580A"/>
    <w:rsid w:val="00D81AAE"/>
    <w:rsid w:val="00D823FB"/>
    <w:rsid w:val="00D90215"/>
    <w:rsid w:val="00D93932"/>
    <w:rsid w:val="00D9749B"/>
    <w:rsid w:val="00D97C9B"/>
    <w:rsid w:val="00DA237D"/>
    <w:rsid w:val="00DA75DD"/>
    <w:rsid w:val="00DC0768"/>
    <w:rsid w:val="00DC13BC"/>
    <w:rsid w:val="00DC2C1E"/>
    <w:rsid w:val="00DC5353"/>
    <w:rsid w:val="00DD21F9"/>
    <w:rsid w:val="00DD25A0"/>
    <w:rsid w:val="00DD4B17"/>
    <w:rsid w:val="00DD6093"/>
    <w:rsid w:val="00DE34C9"/>
    <w:rsid w:val="00DE6631"/>
    <w:rsid w:val="00DE7946"/>
    <w:rsid w:val="00DF75A4"/>
    <w:rsid w:val="00E02500"/>
    <w:rsid w:val="00E0295D"/>
    <w:rsid w:val="00E04661"/>
    <w:rsid w:val="00E0642F"/>
    <w:rsid w:val="00E07155"/>
    <w:rsid w:val="00E12803"/>
    <w:rsid w:val="00E1450B"/>
    <w:rsid w:val="00E17B77"/>
    <w:rsid w:val="00E22F40"/>
    <w:rsid w:val="00E24D40"/>
    <w:rsid w:val="00E335F4"/>
    <w:rsid w:val="00E5349C"/>
    <w:rsid w:val="00E672BE"/>
    <w:rsid w:val="00E7240B"/>
    <w:rsid w:val="00E74569"/>
    <w:rsid w:val="00E776DF"/>
    <w:rsid w:val="00E8149C"/>
    <w:rsid w:val="00E83991"/>
    <w:rsid w:val="00E85619"/>
    <w:rsid w:val="00E857C3"/>
    <w:rsid w:val="00E86632"/>
    <w:rsid w:val="00E90F10"/>
    <w:rsid w:val="00E94419"/>
    <w:rsid w:val="00E95BC0"/>
    <w:rsid w:val="00EA0257"/>
    <w:rsid w:val="00EA19E8"/>
    <w:rsid w:val="00EA2520"/>
    <w:rsid w:val="00EC082C"/>
    <w:rsid w:val="00EC65D1"/>
    <w:rsid w:val="00ED0C5F"/>
    <w:rsid w:val="00ED6B37"/>
    <w:rsid w:val="00EE6EE8"/>
    <w:rsid w:val="00EF243F"/>
    <w:rsid w:val="00EF2F59"/>
    <w:rsid w:val="00EF3286"/>
    <w:rsid w:val="00EF5237"/>
    <w:rsid w:val="00EF70DA"/>
    <w:rsid w:val="00F15339"/>
    <w:rsid w:val="00F17704"/>
    <w:rsid w:val="00F206D3"/>
    <w:rsid w:val="00F234A7"/>
    <w:rsid w:val="00F250F0"/>
    <w:rsid w:val="00F2731D"/>
    <w:rsid w:val="00F345CA"/>
    <w:rsid w:val="00F34BF8"/>
    <w:rsid w:val="00F537B3"/>
    <w:rsid w:val="00F538EA"/>
    <w:rsid w:val="00F56BBB"/>
    <w:rsid w:val="00F570B8"/>
    <w:rsid w:val="00F60F25"/>
    <w:rsid w:val="00F6279D"/>
    <w:rsid w:val="00F63D18"/>
    <w:rsid w:val="00F64E25"/>
    <w:rsid w:val="00F70074"/>
    <w:rsid w:val="00F759FD"/>
    <w:rsid w:val="00F82D2F"/>
    <w:rsid w:val="00F86E31"/>
    <w:rsid w:val="00F93BF1"/>
    <w:rsid w:val="00FA4D37"/>
    <w:rsid w:val="00FB6439"/>
    <w:rsid w:val="00FD0117"/>
    <w:rsid w:val="00FE232F"/>
    <w:rsid w:val="00FF66CB"/>
    <w:rsid w:val="01117EDD"/>
    <w:rsid w:val="01E45BED"/>
    <w:rsid w:val="03BD13F9"/>
    <w:rsid w:val="08805491"/>
    <w:rsid w:val="101030F7"/>
    <w:rsid w:val="18E8115C"/>
    <w:rsid w:val="19582070"/>
    <w:rsid w:val="1A0F0A93"/>
    <w:rsid w:val="1A443D20"/>
    <w:rsid w:val="1B7268BC"/>
    <w:rsid w:val="1BAC479D"/>
    <w:rsid w:val="1C916E0E"/>
    <w:rsid w:val="1EB208E0"/>
    <w:rsid w:val="21B474A0"/>
    <w:rsid w:val="28B877E9"/>
    <w:rsid w:val="2E422CBB"/>
    <w:rsid w:val="2EF91550"/>
    <w:rsid w:val="32D82BB4"/>
    <w:rsid w:val="33854928"/>
    <w:rsid w:val="3599388C"/>
    <w:rsid w:val="390D1109"/>
    <w:rsid w:val="39C63B4A"/>
    <w:rsid w:val="3D227913"/>
    <w:rsid w:val="42154762"/>
    <w:rsid w:val="42CB5DD5"/>
    <w:rsid w:val="430C039B"/>
    <w:rsid w:val="46020769"/>
    <w:rsid w:val="4C5009A1"/>
    <w:rsid w:val="4CA51347"/>
    <w:rsid w:val="558746DF"/>
    <w:rsid w:val="55CC4BD5"/>
    <w:rsid w:val="55DA4C9E"/>
    <w:rsid w:val="5A3B6FEB"/>
    <w:rsid w:val="5B8F58F8"/>
    <w:rsid w:val="5E5B3EFF"/>
    <w:rsid w:val="632653EF"/>
    <w:rsid w:val="6434429B"/>
    <w:rsid w:val="650A04FF"/>
    <w:rsid w:val="660C2241"/>
    <w:rsid w:val="68DE21D9"/>
    <w:rsid w:val="6D4D346E"/>
    <w:rsid w:val="706A1255"/>
    <w:rsid w:val="71283448"/>
    <w:rsid w:val="771B4CC8"/>
    <w:rsid w:val="791459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qFormat="1"/>
    <w:lsdException w:name="caption" w:semiHidden="0" w:uiPriority="0" w:unhideWhenUsed="0"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qFormat="1"/>
    <w:lsdException w:name="Normal Table" w:qFormat="1"/>
    <w:lsdException w:name="annotation subject" w:semiHidden="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ind w:left="339"/>
    </w:pPr>
    <w:rPr>
      <w:rFonts w:ascii="Arial" w:eastAsia="黑体" w:hAnsi="Arial" w:cs="Arial"/>
      <w:sz w:val="20"/>
      <w:szCs w:val="20"/>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link w:val="Char0"/>
    <w:uiPriority w:val="99"/>
    <w:unhideWhenUsed/>
    <w:qFormat/>
    <w:pPr>
      <w:jc w:val="left"/>
    </w:pPr>
  </w:style>
  <w:style w:type="paragraph" w:styleId="a6">
    <w:name w:val="Plain Text"/>
    <w:basedOn w:val="a"/>
    <w:link w:val="Char1"/>
    <w:qFormat/>
    <w:pPr>
      <w:spacing w:line="480" w:lineRule="auto"/>
    </w:pPr>
    <w:rPr>
      <w:rFonts w:ascii="宋体" w:hAnsi="Courier New"/>
      <w:szCs w:val="21"/>
    </w:rPr>
  </w:style>
  <w:style w:type="paragraph" w:styleId="a7">
    <w:name w:val="Balloon Text"/>
    <w:basedOn w:val="a"/>
    <w:link w:val="Char2"/>
    <w:uiPriority w:val="99"/>
    <w:qFormat/>
    <w:rPr>
      <w:kern w:val="0"/>
      <w:sz w:val="18"/>
      <w:szCs w:val="18"/>
    </w:rPr>
  </w:style>
  <w:style w:type="paragraph" w:styleId="a8">
    <w:name w:val="footer"/>
    <w:basedOn w:val="a"/>
    <w:link w:val="Char3"/>
    <w:uiPriority w:val="99"/>
    <w:qFormat/>
    <w:pPr>
      <w:tabs>
        <w:tab w:val="center" w:pos="4153"/>
        <w:tab w:val="right" w:pos="8306"/>
      </w:tabs>
      <w:snapToGrid w:val="0"/>
      <w:jc w:val="left"/>
    </w:pPr>
    <w:rPr>
      <w:kern w:val="0"/>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uiPriority w:val="99"/>
    <w:unhideWhenUsed/>
    <w:qFormat/>
    <w:pPr>
      <w:spacing w:before="100" w:beforeAutospacing="1" w:after="100" w:afterAutospacing="1"/>
      <w:ind w:firstLine="480"/>
    </w:pPr>
  </w:style>
  <w:style w:type="paragraph" w:styleId="ab">
    <w:name w:val="annotation subject"/>
    <w:basedOn w:val="a5"/>
    <w:next w:val="a5"/>
    <w:link w:val="Char5"/>
    <w:uiPriority w:val="99"/>
    <w:unhideWhenUsed/>
    <w:qFormat/>
    <w:rPr>
      <w:b/>
      <w:bCs/>
    </w:rPr>
  </w:style>
  <w:style w:type="table" w:styleId="ac">
    <w:name w:val="Table Grid"/>
    <w:basedOn w:val="a1"/>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qFormat/>
  </w:style>
  <w:style w:type="character" w:styleId="ae">
    <w:name w:val="annotation reference"/>
    <w:uiPriority w:val="99"/>
    <w:unhideWhenUsed/>
    <w:qFormat/>
    <w:rPr>
      <w:sz w:val="21"/>
      <w:szCs w:val="21"/>
    </w:rPr>
  </w:style>
  <w:style w:type="character" w:customStyle="1" w:styleId="Char">
    <w:name w:val="文档结构图 Char"/>
    <w:link w:val="a4"/>
    <w:uiPriority w:val="99"/>
    <w:semiHidden/>
    <w:qFormat/>
    <w:rPr>
      <w:rFonts w:ascii="宋体"/>
      <w:kern w:val="2"/>
      <w:sz w:val="18"/>
      <w:szCs w:val="18"/>
    </w:rPr>
  </w:style>
  <w:style w:type="character" w:customStyle="1" w:styleId="Char0">
    <w:name w:val="批注文字 Char"/>
    <w:link w:val="a5"/>
    <w:uiPriority w:val="99"/>
    <w:semiHidden/>
    <w:qFormat/>
    <w:rPr>
      <w:kern w:val="2"/>
      <w:sz w:val="21"/>
      <w:szCs w:val="22"/>
    </w:rPr>
  </w:style>
  <w:style w:type="character" w:customStyle="1" w:styleId="Char1">
    <w:name w:val="纯文本 Char"/>
    <w:link w:val="a6"/>
    <w:qFormat/>
    <w:rPr>
      <w:rFonts w:ascii="宋体" w:hAnsi="Courier New" w:cs="Courier New"/>
      <w:kern w:val="2"/>
      <w:sz w:val="21"/>
      <w:szCs w:val="21"/>
    </w:rPr>
  </w:style>
  <w:style w:type="character" w:customStyle="1" w:styleId="Char2">
    <w:name w:val="批注框文本 Char"/>
    <w:link w:val="a7"/>
    <w:uiPriority w:val="99"/>
    <w:qFormat/>
    <w:rPr>
      <w:rFonts w:ascii="Calibri" w:eastAsia="宋体" w:hAnsi="Calibri" w:cs="Times New Roman"/>
      <w:sz w:val="18"/>
      <w:szCs w:val="18"/>
    </w:rPr>
  </w:style>
  <w:style w:type="character" w:customStyle="1" w:styleId="Char3">
    <w:name w:val="页脚 Char"/>
    <w:link w:val="a8"/>
    <w:uiPriority w:val="99"/>
    <w:qFormat/>
    <w:rPr>
      <w:rFonts w:ascii="Calibri" w:eastAsia="宋体" w:hAnsi="Calibri" w:cs="Times New Roman"/>
      <w:sz w:val="18"/>
      <w:szCs w:val="18"/>
    </w:rPr>
  </w:style>
  <w:style w:type="character" w:customStyle="1" w:styleId="Char4">
    <w:name w:val="页眉 Char"/>
    <w:link w:val="a9"/>
    <w:qFormat/>
    <w:rPr>
      <w:rFonts w:ascii="Calibri" w:eastAsia="宋体" w:hAnsi="Calibri" w:cs="Times New Roman"/>
      <w:sz w:val="18"/>
      <w:szCs w:val="18"/>
    </w:rPr>
  </w:style>
  <w:style w:type="character" w:customStyle="1" w:styleId="Char5">
    <w:name w:val="批注主题 Char"/>
    <w:link w:val="ab"/>
    <w:uiPriority w:val="99"/>
    <w:semiHidden/>
    <w:qFormat/>
    <w:rPr>
      <w:b/>
      <w:bCs/>
      <w:kern w:val="2"/>
      <w:sz w:val="21"/>
      <w:szCs w:val="22"/>
    </w:rPr>
  </w:style>
  <w:style w:type="paragraph" w:styleId="af">
    <w:name w:val="List Paragraph"/>
    <w:basedOn w:val="a"/>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p0">
    <w:name w:val="p0"/>
    <w:basedOn w:val="a"/>
    <w:qFormat/>
    <w:pPr>
      <w:widowControl/>
    </w:pPr>
    <w:rPr>
      <w:rFonts w:hint="eastAsia"/>
      <w:szCs w:val="20"/>
    </w:rPr>
  </w:style>
  <w:style w:type="paragraph" w:customStyle="1" w:styleId="1">
    <w:name w:val="修订1"/>
    <w:uiPriority w:val="99"/>
    <w:semiHidden/>
    <w:qFormat/>
    <w:rPr>
      <w:kern w:val="2"/>
      <w:sz w:val="21"/>
      <w:szCs w:val="22"/>
    </w:rPr>
  </w:style>
  <w:style w:type="paragraph" w:customStyle="1" w:styleId="content">
    <w:name w:val="content"/>
    <w:basedOn w:val="Default"/>
    <w:next w:val="Default"/>
    <w:qFormat/>
    <w:pPr>
      <w:adjustRightInd/>
    </w:pPr>
    <w:rPr>
      <w:rFonts w:hAnsi="宋体" w:cs="Times New Roman"/>
      <w:szCs w:val="20"/>
    </w:rPr>
  </w:style>
  <w:style w:type="paragraph" w:customStyle="1" w:styleId="2">
    <w:name w:val="修订2"/>
    <w:uiPriority w:val="99"/>
    <w:unhideWhenUsed/>
    <w:qFormat/>
    <w:rPr>
      <w:kern w:val="2"/>
      <w:sz w:val="21"/>
      <w:szCs w:val="22"/>
    </w:rPr>
  </w:style>
  <w:style w:type="character" w:customStyle="1" w:styleId="discrepancy1">
    <w:name w:val="discrepancy1"/>
    <w:basedOn w:val="a0"/>
    <w:qFormat/>
    <w:rPr>
      <w:color w:val="F7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E6376D-8121-4F2A-8EAD-CF3C67F3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802</Words>
  <Characters>4576</Characters>
  <Application>Microsoft Office Word</Application>
  <DocSecurity>0</DocSecurity>
  <Lines>38</Lines>
  <Paragraphs>10</Paragraphs>
  <ScaleCrop>false</ScaleCrop>
  <Company>gsi</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邱知临</dc:creator>
  <cp:lastModifiedBy>dshbgs</cp:lastModifiedBy>
  <cp:revision>12</cp:revision>
  <cp:lastPrinted>2024-04-08T10:16:00Z</cp:lastPrinted>
  <dcterms:created xsi:type="dcterms:W3CDTF">2023-10-10T00:53:00Z</dcterms:created>
  <dcterms:modified xsi:type="dcterms:W3CDTF">2024-04-25T11:02:00Z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_DocHome">
    <vt:r8>1632447309</vt:r8>
  </property>
  <property fmtid="{D5CDD505-2E9C-101B-9397-08002B2CF9AE}" pid="4" name="ICV">
    <vt:lpwstr>76557946F2584D35B997D029D4B68566</vt:lpwstr>
  </property>
  <property fmtid="{D5CDD505-2E9C-101B-9397-08002B2CF9AE}" pid="5" name="Plato EditorId">
    <vt:lpwstr>cf9466a9-596b-4c9b-a38b-8e8d8ea73ca1</vt:lpwstr>
  </property>
  <property fmtid="{D5CDD505-2E9C-101B-9397-08002B2CF9AE}" pid="6" name="Plato Matter Owner Designation">
    <vt:lpwstr/>
  </property>
  <property fmtid="{D5CDD505-2E9C-101B-9397-08002B2CF9AE}" pid="7" name="Reference">
    <vt:lpwstr/>
  </property>
</Properties>
</file>