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bookmarkStart w:id="0" w:name="_GoBack"/>
      <w:bookmarkEnd w:id="0"/>
      <w:r>
        <w:rPr>
          <w:lang/>
        </w:rPr>
        <w:drawing>
          <wp:anchor distT="0" distB="0" distL="114300" distR="114300" simplePos="0" relativeHeight="251659264" behindDoc="0" locked="0" layoutInCell="1" allowOverlap="1">
            <wp:simplePos x="0" y="0"/>
            <wp:positionH relativeFrom="column">
              <wp:posOffset>-15240</wp:posOffset>
            </wp:positionH>
            <wp:positionV relativeFrom="paragraph">
              <wp:posOffset>-223520</wp:posOffset>
            </wp:positionV>
            <wp:extent cx="5295900" cy="348615"/>
            <wp:effectExtent l="0" t="0" r="0" b="13335"/>
            <wp:wrapSquare wrapText="bothSides"/>
            <wp:docPr id="1" name="图片 1" descr="说明: 说明: CSSC+中船防务(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SSC+中船防务(左右)"/>
                    <pic:cNvPicPr>
                      <a:picLocks noChangeAspect="1"/>
                    </pic:cNvPicPr>
                  </pic:nvPicPr>
                  <pic:blipFill>
                    <a:blip r:embed="rId5"/>
                    <a:stretch>
                      <a:fillRect/>
                    </a:stretch>
                  </pic:blipFill>
                  <pic:spPr>
                    <a:xfrm>
                      <a:off x="0" y="0"/>
                      <a:ext cx="5295900" cy="348615"/>
                    </a:xfrm>
                    <a:prstGeom prst="rect">
                      <a:avLst/>
                    </a:prstGeom>
                    <a:noFill/>
                    <a:ln>
                      <a:noFill/>
                    </a:ln>
                  </pic:spPr>
                </pic:pic>
              </a:graphicData>
            </a:graphic>
          </wp:anchor>
        </w:drawing>
      </w:r>
    </w:p>
    <w:p>
      <w:pPr>
        <w:jc w:val="center"/>
        <w:rPr>
          <w:rFonts w:hint="eastAsia" w:ascii="宋体" w:hAnsi="宋体"/>
          <w:b/>
          <w:sz w:val="32"/>
          <w:szCs w:val="32"/>
        </w:rPr>
      </w:pPr>
      <w:r>
        <w:rPr>
          <w:rFonts w:ascii="宋体" w:hAnsi="宋体" w:eastAsia="PMingLiU"/>
          <w:b/>
          <w:sz w:val="36"/>
          <w:szCs w:val="36"/>
          <w:lang w:eastAsia="zh-TW"/>
        </w:rPr>
        <w:t xml:space="preserve"> </w:t>
      </w:r>
      <w:r>
        <w:rPr>
          <w:rFonts w:hint="eastAsia" w:ascii="宋体" w:hAnsi="宋体" w:eastAsia="PMingLiU"/>
          <w:b/>
          <w:sz w:val="32"/>
          <w:szCs w:val="32"/>
          <w:lang w:eastAsia="zh-TW"/>
        </w:rPr>
        <w:t>提名委員會實施細則</w:t>
      </w:r>
      <w:r>
        <w:rPr>
          <w:rFonts w:hint="eastAsia" w:ascii="宋体" w:hAnsi="宋体"/>
          <w:b/>
          <w:sz w:val="32"/>
          <w:szCs w:val="32"/>
        </w:rPr>
        <w:t xml:space="preserve"> </w:t>
      </w:r>
    </w:p>
    <w:p>
      <w:pPr>
        <w:spacing w:line="520" w:lineRule="exact"/>
        <w:jc w:val="center"/>
        <w:rPr>
          <w:rFonts w:hint="eastAsia" w:ascii="宋体" w:hAnsi="宋体" w:eastAsia="PMingLiU"/>
          <w:sz w:val="24"/>
          <w:szCs w:val="24"/>
          <w:lang w:eastAsia="zh-TW"/>
        </w:rPr>
      </w:pPr>
      <w:r>
        <w:rPr>
          <w:rFonts w:hint="eastAsia" w:ascii="宋体" w:hAnsi="宋体" w:eastAsia="PMingLiU"/>
          <w:sz w:val="24"/>
          <w:szCs w:val="24"/>
          <w:lang w:eastAsia="zh-TW"/>
        </w:rPr>
        <w:t>（本細則經</w:t>
      </w:r>
      <w:r>
        <w:rPr>
          <w:rFonts w:ascii="宋体" w:hAnsi="宋体" w:eastAsia="PMingLiU"/>
          <w:sz w:val="24"/>
          <w:szCs w:val="24"/>
          <w:lang w:eastAsia="zh-TW"/>
        </w:rPr>
        <w:t>2004</w:t>
      </w:r>
      <w:r>
        <w:rPr>
          <w:rFonts w:hint="eastAsia" w:ascii="宋体" w:hAnsi="宋体" w:eastAsia="PMingLiU"/>
          <w:sz w:val="24"/>
          <w:szCs w:val="24"/>
          <w:lang w:eastAsia="zh-TW"/>
        </w:rPr>
        <w:t>年</w:t>
      </w:r>
      <w:r>
        <w:rPr>
          <w:rFonts w:ascii="宋体" w:hAnsi="宋体" w:eastAsia="PMingLiU"/>
          <w:sz w:val="24"/>
          <w:szCs w:val="24"/>
          <w:lang w:eastAsia="zh-TW"/>
        </w:rPr>
        <w:t>2</w:t>
      </w:r>
      <w:r>
        <w:rPr>
          <w:rFonts w:hint="eastAsia" w:ascii="宋体" w:hAnsi="宋体" w:eastAsia="PMingLiU"/>
          <w:sz w:val="24"/>
          <w:szCs w:val="24"/>
          <w:lang w:eastAsia="zh-TW"/>
        </w:rPr>
        <w:t>月</w:t>
      </w:r>
      <w:r>
        <w:rPr>
          <w:rFonts w:ascii="宋体" w:hAnsi="宋体" w:eastAsia="PMingLiU"/>
          <w:sz w:val="24"/>
          <w:szCs w:val="24"/>
          <w:lang w:eastAsia="zh-TW"/>
        </w:rPr>
        <w:t>6</w:t>
      </w:r>
      <w:r>
        <w:rPr>
          <w:rFonts w:hint="eastAsia" w:ascii="宋体" w:hAnsi="宋体" w:eastAsia="PMingLiU"/>
          <w:sz w:val="24"/>
          <w:szCs w:val="24"/>
          <w:lang w:eastAsia="zh-TW"/>
        </w:rPr>
        <w:t xml:space="preserve">日第四届董事會第十二次會議審議通過） </w:t>
      </w:r>
    </w:p>
    <w:p>
      <w:pPr>
        <w:spacing w:line="520" w:lineRule="exact"/>
        <w:jc w:val="center"/>
        <w:rPr>
          <w:rFonts w:hint="eastAsia" w:ascii="宋体" w:hAnsi="宋体" w:eastAsia="PMingLiU"/>
          <w:sz w:val="24"/>
          <w:szCs w:val="24"/>
          <w:lang w:eastAsia="zh-TW"/>
        </w:rPr>
      </w:pPr>
      <w:r>
        <w:rPr>
          <w:rFonts w:hint="eastAsia" w:ascii="宋体" w:hAnsi="宋体" w:eastAsia="PMingLiU"/>
          <w:sz w:val="24"/>
          <w:szCs w:val="24"/>
          <w:lang w:eastAsia="zh-TW"/>
        </w:rPr>
        <w:t>（</w:t>
      </w:r>
      <w:r>
        <w:rPr>
          <w:rFonts w:ascii="宋体" w:hAnsi="宋体" w:eastAsia="PMingLiU"/>
          <w:sz w:val="24"/>
          <w:szCs w:val="24"/>
          <w:lang w:eastAsia="zh-TW"/>
        </w:rPr>
        <w:t>2012</w:t>
      </w:r>
      <w:r>
        <w:rPr>
          <w:rFonts w:hint="eastAsia" w:ascii="宋体" w:hAnsi="宋体" w:eastAsia="PMingLiU"/>
          <w:sz w:val="24"/>
          <w:szCs w:val="24"/>
          <w:lang w:eastAsia="zh-TW"/>
        </w:rPr>
        <w:t>年</w:t>
      </w:r>
      <w:r>
        <w:rPr>
          <w:rFonts w:ascii="宋体" w:hAnsi="宋体" w:eastAsia="PMingLiU"/>
          <w:sz w:val="24"/>
          <w:szCs w:val="24"/>
          <w:lang w:eastAsia="zh-TW"/>
        </w:rPr>
        <w:t>3</w:t>
      </w:r>
      <w:r>
        <w:rPr>
          <w:rFonts w:hint="eastAsia" w:ascii="宋体" w:hAnsi="宋体" w:eastAsia="PMingLiU"/>
          <w:sz w:val="24"/>
          <w:szCs w:val="24"/>
          <w:lang w:eastAsia="zh-TW"/>
        </w:rPr>
        <w:t>月</w:t>
      </w:r>
      <w:r>
        <w:rPr>
          <w:rFonts w:ascii="宋体" w:hAnsi="宋体" w:eastAsia="PMingLiU"/>
          <w:sz w:val="24"/>
          <w:szCs w:val="24"/>
          <w:lang w:eastAsia="zh-TW"/>
        </w:rPr>
        <w:t>29</w:t>
      </w:r>
      <w:r>
        <w:rPr>
          <w:rFonts w:hint="eastAsia" w:ascii="宋体" w:hAnsi="宋体" w:eastAsia="PMingLiU"/>
          <w:sz w:val="24"/>
          <w:szCs w:val="24"/>
          <w:lang w:eastAsia="zh-TW"/>
        </w:rPr>
        <w:t xml:space="preserve">日第七届董事會第六次會議第一次修訂） </w:t>
      </w:r>
    </w:p>
    <w:p>
      <w:pPr>
        <w:spacing w:line="520" w:lineRule="exact"/>
        <w:jc w:val="center"/>
        <w:rPr>
          <w:rFonts w:hint="eastAsia" w:ascii="宋体" w:hAnsi="宋体" w:eastAsia="PMingLiU"/>
          <w:sz w:val="24"/>
          <w:szCs w:val="24"/>
          <w:lang w:eastAsia="zh-TW"/>
        </w:rPr>
      </w:pPr>
      <w:r>
        <w:rPr>
          <w:rFonts w:hint="eastAsia" w:ascii="宋体" w:hAnsi="宋体" w:eastAsia="PMingLiU"/>
          <w:sz w:val="24"/>
          <w:szCs w:val="24"/>
          <w:lang w:eastAsia="zh-TW"/>
        </w:rPr>
        <w:t>（</w:t>
      </w:r>
      <w:r>
        <w:rPr>
          <w:rFonts w:ascii="宋体" w:hAnsi="宋体" w:eastAsia="PMingLiU"/>
          <w:sz w:val="24"/>
          <w:szCs w:val="24"/>
          <w:lang w:eastAsia="zh-TW"/>
        </w:rPr>
        <w:t>2024</w:t>
      </w:r>
      <w:r>
        <w:rPr>
          <w:rFonts w:hint="eastAsia" w:ascii="宋体" w:hAnsi="宋体" w:eastAsia="PMingLiU"/>
          <w:sz w:val="24"/>
          <w:szCs w:val="24"/>
          <w:lang w:eastAsia="zh-TW"/>
        </w:rPr>
        <w:t>年</w:t>
      </w:r>
      <w:r>
        <w:rPr>
          <w:rFonts w:ascii="宋体" w:hAnsi="宋体" w:eastAsia="PMingLiU"/>
          <w:sz w:val="24"/>
          <w:szCs w:val="24"/>
          <w:lang w:eastAsia="zh-TW"/>
        </w:rPr>
        <w:t>4</w:t>
      </w:r>
      <w:r>
        <w:rPr>
          <w:rFonts w:hint="eastAsia" w:ascii="宋体" w:hAnsi="宋体" w:eastAsia="PMingLiU"/>
          <w:sz w:val="24"/>
          <w:szCs w:val="24"/>
          <w:lang w:eastAsia="zh-TW"/>
        </w:rPr>
        <w:t>月</w:t>
      </w:r>
      <w:r>
        <w:rPr>
          <w:rFonts w:ascii="宋体" w:hAnsi="宋体" w:eastAsia="PMingLiU"/>
          <w:sz w:val="24"/>
          <w:szCs w:val="24"/>
          <w:lang w:eastAsia="zh-TW"/>
        </w:rPr>
        <w:t>25</w:t>
      </w:r>
      <w:r>
        <w:rPr>
          <w:rFonts w:hint="eastAsia" w:ascii="宋体" w:hAnsi="宋体" w:eastAsia="PMingLiU"/>
          <w:sz w:val="24"/>
          <w:szCs w:val="24"/>
          <w:lang w:eastAsia="zh-TW"/>
        </w:rPr>
        <w:t>日第十一届董事會第四次會議第二次修訂）</w:t>
      </w:r>
    </w:p>
    <w:p>
      <w:pPr>
        <w:autoSpaceDE w:val="0"/>
        <w:autoSpaceDN w:val="0"/>
        <w:spacing w:before="312" w:beforeLines="100"/>
        <w:jc w:val="center"/>
        <w:rPr>
          <w:rFonts w:hint="eastAsia" w:ascii="宋体" w:hAnsi="宋体"/>
          <w:b/>
          <w:bCs/>
          <w:color w:val="000000"/>
          <w:sz w:val="28"/>
          <w:szCs w:val="28"/>
        </w:rPr>
      </w:pPr>
      <w:r>
        <w:rPr>
          <w:rFonts w:hint="eastAsia" w:ascii="宋体" w:hAnsi="宋体" w:eastAsia="PMingLiU"/>
          <w:b/>
          <w:bCs/>
          <w:color w:val="000000"/>
          <w:sz w:val="28"/>
          <w:szCs w:val="28"/>
          <w:lang w:eastAsia="zh-TW"/>
        </w:rPr>
        <w:t>第一章</w:t>
      </w:r>
      <w:r>
        <w:rPr>
          <w:rFonts w:ascii="宋体" w:hAnsi="宋体" w:eastAsia="PMingLiU"/>
          <w:b/>
          <w:bCs/>
          <w:color w:val="000000"/>
          <w:sz w:val="28"/>
          <w:szCs w:val="28"/>
          <w:lang w:eastAsia="zh-TW"/>
        </w:rPr>
        <w:t xml:space="preserve"> </w:t>
      </w:r>
      <w:r>
        <w:rPr>
          <w:rFonts w:hint="eastAsia" w:ascii="宋体" w:hAnsi="宋体" w:eastAsia="PMingLiU"/>
          <w:b/>
          <w:bCs/>
          <w:color w:val="000000"/>
          <w:sz w:val="28"/>
          <w:szCs w:val="28"/>
          <w:lang w:eastAsia="zh-TW"/>
        </w:rPr>
        <w:t>總則</w:t>
      </w:r>
    </w:p>
    <w:p>
      <w:pPr>
        <w:pStyle w:val="19"/>
        <w:spacing w:before="156" w:beforeLines="50" w:line="520" w:lineRule="exact"/>
        <w:ind w:firstLine="560"/>
        <w:rPr>
          <w:rFonts w:hint="eastAsia"/>
          <w:kern w:val="2"/>
          <w:szCs w:val="24"/>
        </w:rPr>
      </w:pPr>
      <w:r>
        <w:rPr>
          <w:rFonts w:hint="eastAsia" w:eastAsia="PMingLiU"/>
          <w:b/>
          <w:kern w:val="2"/>
          <w:szCs w:val="24"/>
          <w:lang w:eastAsia="zh-TW"/>
        </w:rPr>
        <w:t>第一條</w:t>
      </w:r>
      <w:r>
        <w:rPr>
          <w:rFonts w:eastAsia="PMingLiU"/>
          <w:kern w:val="2"/>
          <w:szCs w:val="24"/>
          <w:lang w:eastAsia="zh-TW"/>
        </w:rPr>
        <w:t xml:space="preserve">  </w:t>
      </w:r>
      <w:r>
        <w:rPr>
          <w:rFonts w:hint="eastAsia" w:eastAsia="PMingLiU"/>
          <w:color w:val="auto"/>
          <w:kern w:val="2"/>
          <w:szCs w:val="24"/>
          <w:lang w:eastAsia="zh-TW"/>
        </w:rPr>
        <w:t>爲規範中船海洋與防務裝備股份有限公司（以下簡稱“本公司”）高級管理人員的産生，優化董事會成員的組成，完善本公司治理結構，根據《中華人民共和國公司法》《上市公司治理準則》、公司股票上市所在地證券交易所各自的上市規則（以下簡稱“上市規則”）、《上海證券交易所上市公司自律監管指引第</w:t>
      </w:r>
      <w:r>
        <w:rPr>
          <w:rFonts w:eastAsia="PMingLiU"/>
          <w:color w:val="auto"/>
          <w:kern w:val="2"/>
          <w:szCs w:val="24"/>
          <w:lang w:eastAsia="zh-TW"/>
        </w:rPr>
        <w:t>1</w:t>
      </w:r>
      <w:r>
        <w:rPr>
          <w:rFonts w:hint="eastAsia" w:eastAsia="PMingLiU"/>
          <w:color w:val="auto"/>
          <w:kern w:val="2"/>
          <w:szCs w:val="24"/>
          <w:lang w:eastAsia="zh-TW"/>
        </w:rPr>
        <w:t xml:space="preserve">號——規範運作》、《公司章程》及其他有關規定，本公司設立董事會提名委員會，幷制定《提名委員會實施細則》，（以下簡稱“本實施細則”）。 </w:t>
      </w:r>
    </w:p>
    <w:p>
      <w:pPr>
        <w:spacing w:before="156" w:beforeLines="50" w:line="520" w:lineRule="exact"/>
        <w:ind w:firstLine="560"/>
        <w:rPr>
          <w:rFonts w:hint="eastAsia" w:ascii="宋体" w:hAnsi="宋体"/>
          <w:sz w:val="24"/>
          <w:szCs w:val="24"/>
        </w:rPr>
      </w:pPr>
      <w:r>
        <w:rPr>
          <w:rFonts w:hint="eastAsia" w:ascii="宋体" w:hAnsi="宋体" w:eastAsia="PMingLiU"/>
          <w:b/>
          <w:sz w:val="24"/>
          <w:szCs w:val="24"/>
          <w:lang w:eastAsia="zh-TW"/>
        </w:rPr>
        <w:t>第二條</w:t>
      </w:r>
      <w:r>
        <w:rPr>
          <w:rFonts w:ascii="宋体" w:hAnsi="宋体" w:eastAsia="PMingLiU"/>
          <w:sz w:val="24"/>
          <w:szCs w:val="24"/>
          <w:lang w:eastAsia="zh-TW"/>
        </w:rPr>
        <w:t xml:space="preserve">  </w:t>
      </w:r>
      <w:r>
        <w:rPr>
          <w:rFonts w:hint="eastAsia" w:ascii="宋体" w:hAnsi="宋体" w:eastAsia="PMingLiU"/>
          <w:sz w:val="24"/>
          <w:szCs w:val="24"/>
          <w:lang w:eastAsia="zh-TW"/>
        </w:rPr>
        <w:t>董事會提名委員會是董事會設立的專門工作機構，主要負責擬定董事、高級管理人員的選擇標準和程序，對董事、高級管理人員人選及其任職資格進行遴選、審核。</w:t>
      </w:r>
      <w:r>
        <w:rPr>
          <w:rFonts w:hint="eastAsia" w:ascii="宋体" w:hAnsi="宋体"/>
          <w:sz w:val="24"/>
          <w:szCs w:val="24"/>
        </w:rPr>
        <w:t xml:space="preserve"> </w:t>
      </w:r>
    </w:p>
    <w:p>
      <w:pPr>
        <w:autoSpaceDE w:val="0"/>
        <w:autoSpaceDN w:val="0"/>
        <w:spacing w:before="312" w:beforeLines="100"/>
        <w:jc w:val="center"/>
        <w:rPr>
          <w:rFonts w:hint="eastAsia" w:ascii="宋体" w:hAnsi="宋体"/>
          <w:b/>
          <w:bCs/>
          <w:color w:val="000000"/>
          <w:sz w:val="28"/>
          <w:szCs w:val="28"/>
        </w:rPr>
      </w:pPr>
      <w:r>
        <w:rPr>
          <w:rFonts w:hint="eastAsia" w:ascii="宋体" w:hAnsi="宋体" w:eastAsia="PMingLiU"/>
          <w:b/>
          <w:bCs/>
          <w:color w:val="000000"/>
          <w:sz w:val="28"/>
          <w:szCs w:val="28"/>
          <w:lang w:eastAsia="zh-TW"/>
        </w:rPr>
        <w:t>第二章</w:t>
      </w:r>
      <w:r>
        <w:rPr>
          <w:rFonts w:ascii="宋体" w:hAnsi="宋体" w:eastAsia="PMingLiU"/>
          <w:b/>
          <w:bCs/>
          <w:color w:val="000000"/>
          <w:sz w:val="28"/>
          <w:szCs w:val="28"/>
          <w:lang w:eastAsia="zh-TW"/>
        </w:rPr>
        <w:t xml:space="preserve"> </w:t>
      </w:r>
      <w:r>
        <w:rPr>
          <w:rFonts w:hint="eastAsia" w:ascii="宋体" w:hAnsi="宋体" w:eastAsia="PMingLiU"/>
          <w:b/>
          <w:bCs/>
          <w:color w:val="000000"/>
          <w:sz w:val="28"/>
          <w:szCs w:val="28"/>
          <w:lang w:eastAsia="zh-TW"/>
        </w:rPr>
        <w:t>人員組成</w:t>
      </w:r>
    </w:p>
    <w:p>
      <w:pPr>
        <w:pStyle w:val="19"/>
        <w:spacing w:before="156" w:beforeLines="50" w:line="520" w:lineRule="exact"/>
        <w:ind w:firstLine="540"/>
        <w:rPr>
          <w:rFonts w:hint="eastAsia"/>
          <w:kern w:val="2"/>
          <w:szCs w:val="24"/>
        </w:rPr>
      </w:pPr>
      <w:r>
        <w:rPr>
          <w:rFonts w:hint="eastAsia" w:eastAsia="PMingLiU"/>
          <w:b/>
          <w:kern w:val="2"/>
          <w:szCs w:val="24"/>
          <w:lang w:eastAsia="zh-TW"/>
        </w:rPr>
        <w:t>第三條</w:t>
      </w:r>
      <w:r>
        <w:rPr>
          <w:rFonts w:eastAsia="PMingLiU"/>
          <w:kern w:val="2"/>
          <w:szCs w:val="24"/>
          <w:lang w:eastAsia="zh-TW"/>
        </w:rPr>
        <w:t xml:space="preserve">  </w:t>
      </w:r>
      <w:r>
        <w:rPr>
          <w:rFonts w:hint="eastAsia" w:eastAsia="PMingLiU"/>
          <w:kern w:val="2"/>
          <w:szCs w:val="24"/>
          <w:lang w:eastAsia="zh-TW"/>
        </w:rPr>
        <w:t>提名委員會由三名董事組成，其中獨立非執行董事兩名。</w:t>
      </w:r>
      <w:r>
        <w:rPr>
          <w:rFonts w:hint="eastAsia"/>
          <w:kern w:val="2"/>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b/>
          <w:color w:val="000000"/>
          <w:sz w:val="24"/>
          <w:szCs w:val="24"/>
          <w:lang w:eastAsia="zh-TW"/>
        </w:rPr>
        <w:t>第四條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提名委員會委員由董事長、或二分之一以上獨立非執行董事或者全體董事的三分之一提名，幷由董事會選舉産生。</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b/>
          <w:color w:val="000000"/>
          <w:sz w:val="24"/>
          <w:szCs w:val="24"/>
          <w:lang w:eastAsia="zh-TW"/>
        </w:rPr>
        <w:t>第五條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提名委員會設主任委員一名，由獨立非執行董事委員擔任，負責主持委員會工作；主任委員在獨立非執行董事的委員內由提名委員會選舉，幷報請董事會批准後産生。</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lang w:eastAsia="zh-TW"/>
        </w:rPr>
      </w:pPr>
      <w:r>
        <w:rPr>
          <w:rFonts w:hint="eastAsia" w:ascii="宋体" w:hAnsi="宋体" w:eastAsia="PMingLiU"/>
          <w:b/>
          <w:color w:val="000000"/>
          <w:sz w:val="24"/>
          <w:szCs w:val="24"/>
          <w:lang w:eastAsia="zh-TW"/>
        </w:rPr>
        <w:t>第六條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提名委員會委員的任期與董事任期一致，委員任期届滿，連選可以連任。期間如有委員不再擔任本公司董事職務，自動失去委員資格，幷由董事會根據上述第三至第五條規定補足委員人數。</w:t>
      </w:r>
      <w:r>
        <w:rPr>
          <w:rFonts w:hint="eastAsia" w:ascii="宋体" w:hAnsi="宋体"/>
          <w:sz w:val="24"/>
          <w:szCs w:val="24"/>
          <w:lang w:eastAsia="zh-TW"/>
        </w:rPr>
        <w:t xml:space="preserve"> </w:t>
      </w:r>
    </w:p>
    <w:p>
      <w:pPr>
        <w:spacing w:before="156" w:beforeLines="50" w:line="520" w:lineRule="exact"/>
        <w:ind w:firstLine="540"/>
        <w:rPr>
          <w:rFonts w:hint="eastAsia" w:ascii="宋体" w:hAnsi="宋体"/>
          <w:sz w:val="24"/>
          <w:szCs w:val="24"/>
          <w:lang w:eastAsia="zh-TW"/>
        </w:rPr>
      </w:pPr>
      <w:r>
        <w:rPr>
          <w:rFonts w:hint="eastAsia" w:ascii="宋体" w:hAnsi="宋体" w:eastAsia="PMingLiU"/>
          <w:b/>
          <w:sz w:val="24"/>
          <w:szCs w:val="24"/>
          <w:lang w:eastAsia="zh-TW"/>
        </w:rPr>
        <w:t>第七條</w:t>
      </w:r>
      <w:r>
        <w:rPr>
          <w:rFonts w:ascii="宋体" w:hAnsi="宋体" w:eastAsia="PMingLiU"/>
          <w:sz w:val="24"/>
          <w:szCs w:val="24"/>
          <w:lang w:eastAsia="zh-TW"/>
        </w:rPr>
        <w:t xml:space="preserve">  </w:t>
      </w:r>
      <w:r>
        <w:rPr>
          <w:rFonts w:hint="eastAsia" w:ascii="宋体" w:hAnsi="宋体" w:eastAsia="PMingLiU"/>
          <w:sz w:val="24"/>
          <w:szCs w:val="24"/>
          <w:lang w:eastAsia="zh-TW"/>
        </w:rPr>
        <w:t>本公司設立提名委員會工作小組，承擔提名委員會的工作聯絡、會議組織、材料準備和檔案管理等日常工作。提名委員會履行職責時，公司管理層及相關部門應當給予配合。</w:t>
      </w:r>
    </w:p>
    <w:p>
      <w:pPr>
        <w:autoSpaceDE w:val="0"/>
        <w:autoSpaceDN w:val="0"/>
        <w:spacing w:before="312" w:beforeLines="100"/>
        <w:jc w:val="center"/>
        <w:rPr>
          <w:rFonts w:hint="eastAsia" w:ascii="宋体" w:hAnsi="宋体"/>
          <w:b/>
          <w:bCs/>
          <w:color w:val="000000"/>
          <w:sz w:val="28"/>
          <w:szCs w:val="28"/>
          <w:lang w:eastAsia="zh-TW"/>
        </w:rPr>
      </w:pPr>
      <w:r>
        <w:rPr>
          <w:rFonts w:hint="eastAsia" w:ascii="宋体" w:hAnsi="宋体" w:eastAsia="PMingLiU"/>
          <w:b/>
          <w:bCs/>
          <w:color w:val="000000"/>
          <w:sz w:val="28"/>
          <w:szCs w:val="28"/>
          <w:lang w:eastAsia="zh-TW"/>
        </w:rPr>
        <w:t>第三章</w:t>
      </w:r>
      <w:r>
        <w:rPr>
          <w:rFonts w:ascii="宋体" w:hAnsi="宋体" w:eastAsia="PMingLiU"/>
          <w:b/>
          <w:bCs/>
          <w:color w:val="000000"/>
          <w:sz w:val="28"/>
          <w:szCs w:val="28"/>
          <w:lang w:eastAsia="zh-TW"/>
        </w:rPr>
        <w:t xml:space="preserve"> </w:t>
      </w:r>
      <w:r>
        <w:rPr>
          <w:rFonts w:hint="eastAsia" w:ascii="宋体" w:hAnsi="宋体" w:eastAsia="PMingLiU"/>
          <w:b/>
          <w:bCs/>
          <w:color w:val="000000"/>
          <w:sz w:val="28"/>
          <w:szCs w:val="28"/>
          <w:lang w:eastAsia="zh-TW"/>
        </w:rPr>
        <w:t>職責權限與履職方式</w:t>
      </w:r>
    </w:p>
    <w:p>
      <w:pPr>
        <w:pStyle w:val="19"/>
        <w:spacing w:before="156" w:beforeLines="50" w:line="520" w:lineRule="exact"/>
        <w:ind w:firstLine="480"/>
        <w:rPr>
          <w:rFonts w:hint="eastAsia"/>
          <w:kern w:val="2"/>
          <w:szCs w:val="24"/>
        </w:rPr>
      </w:pPr>
      <w:r>
        <w:rPr>
          <w:rFonts w:hint="eastAsia" w:eastAsia="PMingLiU"/>
          <w:b/>
          <w:kern w:val="2"/>
          <w:szCs w:val="24"/>
          <w:lang w:eastAsia="zh-TW"/>
        </w:rPr>
        <w:t>第八條</w:t>
      </w:r>
      <w:r>
        <w:rPr>
          <w:rFonts w:eastAsia="PMingLiU"/>
          <w:kern w:val="2"/>
          <w:szCs w:val="24"/>
          <w:lang w:eastAsia="zh-TW"/>
        </w:rPr>
        <w:t xml:space="preserve">  </w:t>
      </w:r>
      <w:r>
        <w:rPr>
          <w:rFonts w:hint="eastAsia" w:eastAsia="PMingLiU"/>
          <w:kern w:val="2"/>
          <w:szCs w:val="24"/>
          <w:lang w:eastAsia="zh-TW"/>
        </w:rPr>
        <w:t>提名委員會的主要職責權限：</w:t>
      </w:r>
      <w:r>
        <w:rPr>
          <w:rFonts w:hint="eastAsia"/>
          <w:kern w:val="2"/>
          <w:szCs w:val="24"/>
        </w:rPr>
        <w:t xml:space="preserve"> </w:t>
      </w:r>
    </w:p>
    <w:p>
      <w:pPr>
        <w:pStyle w:val="19"/>
        <w:spacing w:before="156" w:beforeLines="50" w:line="520" w:lineRule="exact"/>
        <w:ind w:firstLine="480"/>
        <w:rPr>
          <w:rFonts w:hint="eastAsia"/>
          <w:kern w:val="2"/>
          <w:szCs w:val="24"/>
        </w:rPr>
      </w:pPr>
      <w:r>
        <w:rPr>
          <w:rFonts w:hint="eastAsia" w:eastAsia="PMingLiU"/>
          <w:kern w:val="2"/>
          <w:szCs w:val="24"/>
          <w:lang w:eastAsia="zh-TW"/>
        </w:rPr>
        <w:t>（一）根據本公司經營活動情况、資産規模和股權結構，最少每年檢討董事會的架構、規模、人數及組成（包括技能、知識及經驗方面），幷就任何爲配合本公司的公司策略而擬對董事會作出的變動向董事會提出建議；</w:t>
      </w:r>
      <w:r>
        <w:rPr>
          <w:rFonts w:hint="eastAsia"/>
          <w:kern w:val="2"/>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（二）研究本公司董事、高級管理人員的選擇標準和程序，幷向董事會提出建議；</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（三）對董事候選人及高級管理人員任職資格進行審查幷提出建議；</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（四）物色具備合適資格可擔任董事或高級管理人員的人士，幷挑選提名有關人士出任董事或高級管理人員或就此向董事會提供意見；</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（五）就董事及高級管理人員的委任或重新委任以及董事、高級管理人員（尤其是董事長及總經理）繼任計劃向董事會提出建議；</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（六）對獨立董事候選人任職資格進行審查，幷形成明確的審查意見；公司應當在選舉獨立董事的股東會召開前披露該審查意見；</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（七）評核獨立非執行董事的獨立性；</w:t>
      </w:r>
      <w:r>
        <w:rPr>
          <w:rFonts w:hint="eastAsia" w:ascii="宋体" w:hAnsi="宋体"/>
          <w:sz w:val="24"/>
          <w:szCs w:val="24"/>
        </w:rPr>
        <w:t xml:space="preserve"> </w:t>
      </w:r>
    </w:p>
    <w:p>
      <w:pPr>
        <w:spacing w:before="156" w:beforeLines="50" w:line="520" w:lineRule="exact"/>
        <w:ind w:firstLine="540"/>
        <w:rPr>
          <w:rFonts w:hint="eastAsia" w:ascii="宋体" w:hAnsi="宋体"/>
          <w:sz w:val="24"/>
          <w:szCs w:val="24"/>
        </w:rPr>
      </w:pPr>
      <w:r>
        <w:rPr>
          <w:rFonts w:hint="eastAsia" w:ascii="宋体" w:hAnsi="宋体" w:eastAsia="PMingLiU"/>
          <w:sz w:val="24"/>
          <w:szCs w:val="24"/>
          <w:lang w:eastAsia="zh-TW"/>
        </w:rPr>
        <w:t>（八）適用法律、法規、上市規則規定的事宜及董事會授權的其他事宜。</w:t>
      </w:r>
      <w:r>
        <w:rPr>
          <w:rFonts w:hint="eastAsia" w:ascii="宋体" w:hAnsi="宋体"/>
          <w:sz w:val="24"/>
          <w:szCs w:val="24"/>
        </w:rPr>
        <w:t xml:space="preserve"> </w:t>
      </w:r>
    </w:p>
    <w:p>
      <w:pPr>
        <w:spacing w:before="156" w:beforeLines="50" w:line="520" w:lineRule="exact"/>
        <w:ind w:firstLine="480" w:firstLineChars="200"/>
        <w:rPr>
          <w:rFonts w:hint="eastAsia" w:ascii="宋体" w:hAnsi="宋体"/>
          <w:sz w:val="24"/>
          <w:szCs w:val="24"/>
        </w:rPr>
      </w:pPr>
      <w:r>
        <w:rPr>
          <w:rFonts w:hint="eastAsia" w:ascii="宋体" w:hAnsi="宋体" w:eastAsia="PMingLiU"/>
          <w:b/>
          <w:color w:val="000000"/>
          <w:sz w:val="24"/>
          <w:szCs w:val="24"/>
          <w:lang w:eastAsia="zh-TW"/>
        </w:rPr>
        <w:t>第九條</w:t>
      </w:r>
      <w:r>
        <w:rPr>
          <w:rFonts w:ascii="宋体" w:hAnsi="宋体" w:eastAsia="PMingLiU"/>
          <w:b/>
          <w:color w:val="000000"/>
          <w:sz w:val="24"/>
          <w:szCs w:val="24"/>
          <w:lang w:eastAsia="zh-TW"/>
        </w:rPr>
        <w:t xml:space="preserve">  </w:t>
      </w:r>
      <w:r>
        <w:rPr>
          <w:rFonts w:hint="eastAsia" w:eastAsia="PMingLiU"/>
          <w:sz w:val="24"/>
          <w:lang w:eastAsia="zh-TW"/>
        </w:rPr>
        <w:t>提名委員會在履行相關職責時，應充分考慮董事會成員，以至全體員工（包括高級管理人員）的多元化政策（包括但不限于性別、年齡、文化及教育背景或專業經驗）。</w:t>
      </w:r>
    </w:p>
    <w:p>
      <w:pPr>
        <w:spacing w:before="156" w:beforeLines="50" w:line="520" w:lineRule="exact"/>
        <w:ind w:firstLine="540"/>
        <w:rPr>
          <w:rFonts w:hint="eastAsia" w:ascii="宋体" w:hAnsi="宋体"/>
          <w:b/>
          <w:sz w:val="24"/>
          <w:szCs w:val="24"/>
        </w:rPr>
      </w:pPr>
      <w:r>
        <w:rPr>
          <w:rFonts w:hint="eastAsia" w:ascii="宋体" w:hAnsi="宋体" w:eastAsia="PMingLiU"/>
          <w:b/>
          <w:color w:val="000000"/>
          <w:sz w:val="24"/>
          <w:szCs w:val="24"/>
          <w:lang w:eastAsia="zh-TW"/>
        </w:rPr>
        <w:t>第十條</w:t>
      </w:r>
      <w:r>
        <w:rPr>
          <w:rFonts w:ascii="宋体" w:hAnsi="宋体" w:eastAsia="PMingLiU"/>
          <w:b/>
          <w:color w:val="000000"/>
          <w:sz w:val="24"/>
          <w:szCs w:val="24"/>
          <w:lang w:eastAsia="zh-TW"/>
        </w:rPr>
        <w:t xml:space="preserve"> </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提名委員會對董事會負責，委員會的提案提交董事會審議决定。</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第十一條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提名委員會依據相關法律法規和本公司章程的規定，結合本公司實際情况，研究本公司的董事、高級管理人員的當選條件、選擇程序和任職期限，形成决議後備案幷提交董事會通過，幷遵照實施。</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第十二條</w:t>
      </w:r>
      <w:r>
        <w:rPr>
          <w:rFonts w:ascii="宋体" w:hAnsi="宋体" w:eastAsia="PMingLiU"/>
          <w:sz w:val="24"/>
          <w:szCs w:val="24"/>
          <w:lang w:eastAsia="zh-TW"/>
        </w:rPr>
        <w:t xml:space="preserve">  </w:t>
      </w:r>
      <w:r>
        <w:rPr>
          <w:rFonts w:hint="eastAsia" w:ascii="宋体" w:hAnsi="宋体" w:eastAsia="PMingLiU"/>
          <w:sz w:val="24"/>
          <w:szCs w:val="24"/>
          <w:lang w:eastAsia="zh-TW"/>
        </w:rPr>
        <w:t>董事、高級管理人員的選任程序：</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（一）提名委員會應積極與本公司各有關部門進行交流，研究本公司對新董事、高級管理人員的需求情况，幷形成書面材料；</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（二）提名委員會可在本公司、控股（參股）企業內部以及人才市場等廣泛搜尋合格的董事、高級管理人員人選；</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（三）搜集初選人的職業、學歷、職稱、詳細的工作經歷、全部兼職等情况，形成書面材料；</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（四）徵求被提名人對提名的意見。若被提名人不同意其被提名的，不能將其作爲董事、高級管理人員候選人；</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（五）召集提名委員會會議，根據董事、高級管理人員的任職條件，對初選人員進行資格審查；</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（六）在董事會召開前，向董事會提交董事候選人和高級管理人員人選的建議和相關材料；</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（七）根據董事會决定和反饋意見進行其他後續工作。</w:t>
      </w:r>
      <w:r>
        <w:rPr>
          <w:rFonts w:hint="eastAsia" w:ascii="宋体" w:hAnsi="宋体"/>
          <w:sz w:val="24"/>
          <w:szCs w:val="24"/>
        </w:rPr>
        <w:t xml:space="preserve"> </w:t>
      </w:r>
    </w:p>
    <w:p>
      <w:pPr>
        <w:autoSpaceDE w:val="0"/>
        <w:autoSpaceDN w:val="0"/>
        <w:spacing w:before="312" w:beforeLines="100"/>
        <w:jc w:val="center"/>
        <w:rPr>
          <w:rFonts w:hint="eastAsia" w:ascii="宋体" w:hAnsi="宋体"/>
          <w:b/>
          <w:bCs/>
          <w:color w:val="000000"/>
          <w:sz w:val="28"/>
          <w:szCs w:val="28"/>
        </w:rPr>
      </w:pPr>
      <w:r>
        <w:rPr>
          <w:rFonts w:hint="eastAsia" w:ascii="宋体" w:hAnsi="宋体" w:eastAsia="PMingLiU"/>
          <w:b/>
          <w:bCs/>
          <w:color w:val="000000"/>
          <w:sz w:val="28"/>
          <w:szCs w:val="28"/>
          <w:lang w:eastAsia="zh-TW"/>
        </w:rPr>
        <w:t>第四章</w:t>
      </w:r>
      <w:r>
        <w:rPr>
          <w:rFonts w:ascii="宋体" w:hAnsi="宋体" w:eastAsia="PMingLiU"/>
          <w:b/>
          <w:bCs/>
          <w:color w:val="000000"/>
          <w:sz w:val="28"/>
          <w:szCs w:val="28"/>
          <w:lang w:eastAsia="zh-TW"/>
        </w:rPr>
        <w:t xml:space="preserve"> </w:t>
      </w:r>
      <w:r>
        <w:rPr>
          <w:rFonts w:hint="eastAsia" w:ascii="宋体" w:hAnsi="宋体" w:eastAsia="PMingLiU"/>
          <w:b/>
          <w:bCs/>
          <w:color w:val="000000"/>
          <w:sz w:val="28"/>
          <w:szCs w:val="28"/>
          <w:lang w:eastAsia="zh-TW"/>
        </w:rPr>
        <w:t>議事規則</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第十三條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提名委員會會議須經兩名及以上委員提議，或主任委員認爲有必要時，方可召開。</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sz w:val="24"/>
          <w:szCs w:val="24"/>
          <w:lang w:eastAsia="zh-TW"/>
        </w:rPr>
        <w:t>提名委員會會議必須有三分之二以上成員出席方可舉行。</w:t>
      </w:r>
    </w:p>
    <w:p>
      <w:pPr>
        <w:spacing w:before="156" w:beforeLines="50" w:line="520" w:lineRule="exact"/>
        <w:ind w:firstLine="480" w:firstLineChars="200"/>
        <w:rPr>
          <w:rFonts w:ascii="宋体" w:hAnsi="宋体"/>
          <w:sz w:val="24"/>
          <w:szCs w:val="24"/>
        </w:rPr>
      </w:pPr>
      <w:r>
        <w:rPr>
          <w:rFonts w:hint="eastAsia" w:ascii="宋体" w:hAnsi="宋体" w:eastAsia="PMingLiU"/>
          <w:b/>
          <w:color w:val="000000"/>
          <w:sz w:val="24"/>
          <w:szCs w:val="24"/>
          <w:lang w:eastAsia="zh-TW"/>
        </w:rPr>
        <w:t>第十四條</w:t>
      </w:r>
      <w:r>
        <w:rPr>
          <w:rFonts w:ascii="宋体" w:hAnsi="宋体" w:eastAsia="PMingLiU"/>
          <w:b/>
          <w:color w:val="000000"/>
          <w:sz w:val="24"/>
          <w:szCs w:val="24"/>
          <w:lang w:eastAsia="zh-TW"/>
        </w:rPr>
        <w:t xml:space="preserve">  </w:t>
      </w:r>
      <w:r>
        <w:rPr>
          <w:rFonts w:hint="eastAsia" w:ascii="宋体" w:hAnsi="宋体" w:eastAsia="PMingLiU"/>
          <w:sz w:val="24"/>
          <w:szCs w:val="24"/>
          <w:lang w:eastAsia="zh-TW"/>
        </w:rPr>
        <w:t>提名委員會可以采用現場方式、通訊方式（含視頻、電話、傳真、電子郵件等方式）或現場與通訊相結合的方式召開。</w:t>
      </w:r>
    </w:p>
    <w:p>
      <w:pPr>
        <w:spacing w:before="156" w:beforeLines="50" w:line="520" w:lineRule="exact"/>
        <w:ind w:firstLine="480" w:firstLineChars="200"/>
        <w:jc w:val="left"/>
        <w:rPr>
          <w:rFonts w:hint="eastAsia" w:ascii="宋体" w:hAnsi="宋体"/>
          <w:sz w:val="24"/>
          <w:szCs w:val="24"/>
          <w:lang w:eastAsia="zh-TW"/>
        </w:rPr>
      </w:pPr>
      <w:r>
        <w:rPr>
          <w:rFonts w:hint="eastAsia" w:ascii="宋体" w:hAnsi="宋体" w:eastAsia="PMingLiU"/>
          <w:b/>
          <w:color w:val="000000"/>
          <w:sz w:val="24"/>
          <w:szCs w:val="24"/>
          <w:lang w:eastAsia="zh-TW"/>
        </w:rPr>
        <w:t>第十五條</w:t>
      </w:r>
      <w:r>
        <w:rPr>
          <w:rFonts w:ascii="宋体" w:hAnsi="宋体" w:eastAsia="PMingLiU"/>
          <w:b/>
          <w:color w:val="000000"/>
          <w:sz w:val="24"/>
          <w:szCs w:val="24"/>
          <w:lang w:eastAsia="zh-TW"/>
        </w:rPr>
        <w:t xml:space="preserve">  </w:t>
      </w:r>
      <w:r>
        <w:rPr>
          <w:rFonts w:hint="eastAsia" w:ascii="宋体" w:hAnsi="宋体" w:eastAsia="PMingLiU"/>
          <w:sz w:val="24"/>
          <w:szCs w:val="24"/>
          <w:lang w:eastAsia="zh-TW"/>
        </w:rPr>
        <w:t>提名委員會會議原則上應于會議召開前三日發出會議通知。如情况緊急，需儘快召開會議的，經全體委員一致同意，可豁免前述通知期限要求。會議通知應附內容完整的議案。</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第十六條</w:t>
      </w:r>
      <w:r>
        <w:rPr>
          <w:rFonts w:ascii="宋体" w:hAnsi="宋体" w:eastAsia="PMingLiU"/>
          <w:b/>
          <w:color w:val="000000"/>
          <w:sz w:val="24"/>
          <w:szCs w:val="24"/>
          <w:lang w:eastAsia="zh-TW"/>
        </w:rPr>
        <w:t xml:space="preserve">  </w:t>
      </w:r>
      <w:r>
        <w:rPr>
          <w:rFonts w:hint="eastAsia" w:ascii="宋体" w:hAnsi="宋体" w:eastAsia="PMingLiU"/>
          <w:spacing w:val="8"/>
          <w:sz w:val="24"/>
          <w:szCs w:val="24"/>
          <w:lang w:eastAsia="zh-TW"/>
        </w:rPr>
        <w:t>委員原則上應當親自出席會議，因故不能親自出席會議的，應當事先審閱會議材料，形成明確的意見，幷書面委托其他委員代爲出席。</w:t>
      </w:r>
      <w:r>
        <w:rPr>
          <w:rFonts w:hint="eastAsia" w:ascii="宋体" w:hAnsi="宋体" w:eastAsia="PMingLiU"/>
          <w:sz w:val="24"/>
          <w:szCs w:val="24"/>
          <w:lang w:eastAsia="zh-TW"/>
        </w:rPr>
        <w:t>每一名委員有一票的表决權。</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第十七條</w:t>
      </w:r>
      <w:r>
        <w:rPr>
          <w:rFonts w:ascii="宋体" w:hAnsi="宋体" w:eastAsia="PMingLiU"/>
          <w:b/>
          <w:color w:val="000000"/>
          <w:sz w:val="24"/>
          <w:szCs w:val="24"/>
          <w:lang w:eastAsia="zh-TW"/>
        </w:rPr>
        <w:t xml:space="preserve">  </w:t>
      </w:r>
      <w:r>
        <w:rPr>
          <w:rFonts w:hint="eastAsia" w:ascii="宋体" w:hAnsi="宋体" w:eastAsia="PMingLiU"/>
          <w:sz w:val="24"/>
          <w:szCs w:val="24"/>
          <w:lang w:eastAsia="zh-TW"/>
        </w:rPr>
        <w:t>會議由主任委員主持，主任委員不能出席時應委托另一名獨立非執行董事委員主持會議。</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第十八條</w:t>
      </w:r>
      <w:r>
        <w:rPr>
          <w:rFonts w:ascii="宋体" w:hAnsi="宋体" w:eastAsia="PMingLiU"/>
          <w:b/>
          <w:color w:val="000000"/>
          <w:sz w:val="24"/>
          <w:szCs w:val="24"/>
          <w:lang w:eastAsia="zh-TW"/>
        </w:rPr>
        <w:t xml:space="preserve">  </w:t>
      </w:r>
      <w:r>
        <w:rPr>
          <w:rFonts w:hint="eastAsia" w:ascii="宋体" w:hAnsi="宋体" w:eastAsia="PMingLiU"/>
          <w:sz w:val="24"/>
          <w:szCs w:val="24"/>
          <w:lang w:eastAsia="zh-TW"/>
        </w:rPr>
        <w:t>會議作出的决議，必須經兩名或兩名以上的委員通過方爲有效。</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第十九條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提名委員會會議必要時可邀請本公司董事、監事及其他高級管理人員列席會議。</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第二十條</w:t>
      </w:r>
      <w:r>
        <w:rPr>
          <w:rFonts w:ascii="宋体" w:hAnsi="宋体" w:eastAsia="PMingLiU"/>
          <w:sz w:val="24"/>
          <w:szCs w:val="24"/>
          <w:lang w:eastAsia="zh-TW"/>
        </w:rPr>
        <w:t xml:space="preserve">  </w:t>
      </w:r>
      <w:r>
        <w:rPr>
          <w:rFonts w:hint="eastAsia" w:ascii="宋体" w:hAnsi="宋体" w:eastAsia="PMingLiU"/>
          <w:sz w:val="24"/>
          <w:szCs w:val="24"/>
          <w:lang w:eastAsia="zh-TW"/>
        </w:rPr>
        <w:t>本公司向提名委員會提供充足的資源以履行其職責。如有必要，提名委員會可以聘請中介機構爲其决策提供獨立的專業意見，有關費用由本公司承擔。</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第二十一條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提名委員會會議的召開程序、表决方式和會議通過的議案必須遵循有關法律、法規、上市規則、本公司章程及本實施細則的規定。</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第二十二條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提名委員會會議應當有記錄，會議記錄應當真實、準確、完整，充分反映與會人員對所審議事項提出的意見。出席會議的委員應當在會議記錄上簽名。</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第二十三條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提名委員會會議通過的議案及表决結果，應以書面形式報本公司董事會。</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第二十四條</w:t>
      </w:r>
      <w:r>
        <w:rPr>
          <w:rFonts w:ascii="宋体" w:hAnsi="宋体" w:eastAsia="PMingLiU"/>
          <w:sz w:val="24"/>
          <w:szCs w:val="24"/>
          <w:lang w:eastAsia="zh-TW"/>
        </w:rPr>
        <w:t xml:space="preserve">  </w:t>
      </w:r>
      <w:r>
        <w:rPr>
          <w:rFonts w:hint="eastAsia" w:ascii="宋体" w:hAnsi="宋体" w:eastAsia="PMingLiU"/>
          <w:sz w:val="24"/>
          <w:szCs w:val="24"/>
          <w:lang w:eastAsia="zh-TW"/>
        </w:rPr>
        <w:t>出席會議的委員均對會議所議事項有保密義務，不得擅自披露有關信息。</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sz w:val="24"/>
          <w:szCs w:val="24"/>
          <w:lang w:eastAsia="zh-TW"/>
        </w:rPr>
        <w:t>第二十五條</w:t>
      </w:r>
      <w:r>
        <w:rPr>
          <w:rFonts w:ascii="宋体" w:hAnsi="宋体" w:eastAsia="PMingLiU"/>
          <w:sz w:val="24"/>
          <w:szCs w:val="24"/>
          <w:lang w:eastAsia="zh-TW"/>
        </w:rPr>
        <w:t xml:space="preserve">  </w:t>
      </w:r>
      <w:r>
        <w:rPr>
          <w:rFonts w:hint="eastAsia" w:ascii="宋体" w:hAnsi="宋体" w:eastAsia="PMingLiU"/>
          <w:sz w:val="24"/>
          <w:szCs w:val="24"/>
          <w:lang w:eastAsia="zh-TW"/>
        </w:rPr>
        <w:t>提名委員會會議檔案</w:t>
      </w:r>
      <w:r>
        <w:rPr>
          <w:rFonts w:ascii="宋体" w:hAnsi="宋体" w:eastAsia="PMingLiU"/>
          <w:sz w:val="24"/>
          <w:szCs w:val="24"/>
          <w:lang w:eastAsia="zh-TW"/>
        </w:rPr>
        <w:t>,</w:t>
      </w:r>
      <w:r>
        <w:rPr>
          <w:rFonts w:hint="eastAsia" w:ascii="宋体" w:hAnsi="宋体" w:eastAsia="PMingLiU"/>
          <w:sz w:val="24"/>
          <w:szCs w:val="24"/>
          <w:lang w:eastAsia="zh-TW"/>
        </w:rPr>
        <w:t>包括會議通知和會議材料、委員代爲出席的授權委托書、表决票、經與會委員簽字確認的會議决議、會議記錄等，應至少保存十年。</w:t>
      </w:r>
    </w:p>
    <w:p>
      <w:pPr>
        <w:autoSpaceDE w:val="0"/>
        <w:autoSpaceDN w:val="0"/>
        <w:spacing w:before="312" w:beforeLines="100"/>
        <w:jc w:val="center"/>
        <w:rPr>
          <w:rFonts w:hint="eastAsia" w:ascii="宋体" w:hAnsi="宋体"/>
          <w:b/>
          <w:bCs/>
          <w:color w:val="000000"/>
          <w:sz w:val="28"/>
          <w:szCs w:val="28"/>
        </w:rPr>
      </w:pPr>
      <w:r>
        <w:rPr>
          <w:rFonts w:hint="eastAsia" w:ascii="宋体" w:hAnsi="宋体" w:eastAsia="PMingLiU"/>
          <w:b/>
          <w:bCs/>
          <w:color w:val="000000"/>
          <w:sz w:val="28"/>
          <w:szCs w:val="28"/>
          <w:lang w:eastAsia="zh-TW"/>
        </w:rPr>
        <w:t>第五章</w:t>
      </w:r>
      <w:r>
        <w:rPr>
          <w:rFonts w:ascii="宋体" w:hAnsi="宋体" w:eastAsia="PMingLiU"/>
          <w:b/>
          <w:bCs/>
          <w:color w:val="000000"/>
          <w:sz w:val="28"/>
          <w:szCs w:val="28"/>
          <w:lang w:eastAsia="zh-TW"/>
        </w:rPr>
        <w:t xml:space="preserve"> </w:t>
      </w:r>
      <w:r>
        <w:rPr>
          <w:rFonts w:hint="eastAsia" w:ascii="宋体" w:hAnsi="宋体" w:eastAsia="PMingLiU"/>
          <w:b/>
          <w:bCs/>
          <w:color w:val="000000"/>
          <w:sz w:val="28"/>
          <w:szCs w:val="28"/>
          <w:lang w:eastAsia="zh-TW"/>
        </w:rPr>
        <w:t>附則</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第二十六條</w:t>
      </w:r>
      <w:r>
        <w:rPr>
          <w:rFonts w:ascii="宋体" w:hAnsi="宋体" w:eastAsia="PMingLiU"/>
          <w:sz w:val="24"/>
          <w:szCs w:val="24"/>
          <w:lang w:eastAsia="zh-TW"/>
        </w:rPr>
        <w:t xml:space="preserve">  </w:t>
      </w:r>
      <w:r>
        <w:rPr>
          <w:rFonts w:hint="eastAsia" w:ascii="宋体" w:hAnsi="宋体" w:eastAsia="PMingLiU"/>
          <w:sz w:val="24"/>
          <w:szCs w:val="24"/>
          <w:lang w:eastAsia="zh-TW"/>
        </w:rPr>
        <w:t>本實施細則未盡事宜，按國家有關法律、法規和公司章程以及公司股票上市所在地證券交易所各自上市規則的有關規定執行。</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第二十七條</w:t>
      </w:r>
      <w:r>
        <w:rPr>
          <w:rFonts w:ascii="宋体" w:hAnsi="宋体" w:eastAsia="PMingLiU"/>
          <w:sz w:val="24"/>
          <w:szCs w:val="24"/>
          <w:lang w:eastAsia="zh-TW"/>
        </w:rPr>
        <w:t xml:space="preserve">  </w:t>
      </w:r>
      <w:r>
        <w:rPr>
          <w:rFonts w:hint="eastAsia" w:ascii="宋体" w:hAnsi="宋体" w:eastAsia="PMingLiU"/>
          <w:sz w:val="24"/>
          <w:szCs w:val="24"/>
          <w:lang w:eastAsia="zh-TW"/>
        </w:rPr>
        <w:t>本實施細則與國家有關法律、法規相悖的，按國家有關法律、法規執行。</w:t>
      </w:r>
      <w:r>
        <w:rPr>
          <w:rFonts w:hint="eastAsia" w:ascii="宋体" w:hAnsi="宋体"/>
          <w:sz w:val="24"/>
          <w:szCs w:val="24"/>
        </w:rPr>
        <w:t xml:space="preserve"> </w:t>
      </w:r>
    </w:p>
    <w:p>
      <w:pPr>
        <w:spacing w:before="156" w:beforeLines="50" w:line="520" w:lineRule="exact"/>
        <w:ind w:firstLine="480" w:firstLineChars="200"/>
        <w:jc w:val="left"/>
        <w:rPr>
          <w:rFonts w:hint="eastAsia" w:ascii="宋体" w:hAnsi="宋体"/>
          <w:sz w:val="24"/>
          <w:szCs w:val="24"/>
        </w:rPr>
      </w:pPr>
      <w:r>
        <w:rPr>
          <w:rFonts w:hint="eastAsia" w:ascii="宋体" w:hAnsi="宋体" w:eastAsia="PMingLiU"/>
          <w:b/>
          <w:color w:val="000000"/>
          <w:sz w:val="24"/>
          <w:szCs w:val="24"/>
          <w:lang w:eastAsia="zh-TW"/>
        </w:rPr>
        <w:t>第二十八條</w:t>
      </w:r>
      <w:r>
        <w:rPr>
          <w:rFonts w:ascii="宋体" w:hAnsi="宋体" w:eastAsia="PMingLiU"/>
          <w:sz w:val="24"/>
          <w:szCs w:val="24"/>
          <w:lang w:eastAsia="zh-TW"/>
        </w:rPr>
        <w:t xml:space="preserve">  </w:t>
      </w:r>
      <w:r>
        <w:rPr>
          <w:rFonts w:hint="eastAsia" w:ascii="宋体" w:hAnsi="宋体" w:eastAsia="PMingLiU"/>
          <w:sz w:val="24"/>
          <w:szCs w:val="24"/>
          <w:lang w:eastAsia="zh-TW"/>
        </w:rPr>
        <w:t>本實施細則經董事會審議通過後生效，幷由董事會負責修訂、解釋。</w:t>
      </w:r>
      <w:r>
        <w:rPr>
          <w:rFonts w:hint="eastAsia" w:ascii="宋体" w:hAnsi="宋体"/>
          <w:sz w:val="24"/>
          <w:szCs w:val="24"/>
        </w:rPr>
        <w:t xml:space="preserve"> </w:t>
      </w:r>
    </w:p>
    <w:p>
      <w:pPr>
        <w:spacing w:before="156" w:beforeLines="50" w:line="520" w:lineRule="exact"/>
        <w:jc w:val="center"/>
        <w:rPr>
          <w:rFonts w:hint="eastAsia" w:ascii="宋体" w:hAnsi="宋体"/>
          <w:b/>
          <w:sz w:val="36"/>
          <w:szCs w:val="36"/>
        </w:rPr>
      </w:pPr>
    </w:p>
    <w:p>
      <w:pPr>
        <w:spacing w:before="156" w:beforeLines="50" w:line="520" w:lineRule="exact"/>
        <w:jc w:val="left"/>
        <w:rPr>
          <w:rFonts w:ascii="宋体" w:hAnsi="宋体"/>
          <w:b/>
          <w:sz w:val="24"/>
          <w:szCs w:val="24"/>
        </w:rPr>
      </w:pP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808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rFonts w:eastAsia="PMingLiU"/>
        <w:lang w:val="zh-CN" w:eastAsia="zh-TW"/>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TZlNTk5ZTUxMjI2YmYzOGFjYWNiMzEwZmZiYzUifQ=="/>
  </w:docVars>
  <w:rsids>
    <w:rsidRoot w:val="00172A27"/>
    <w:rsid w:val="000866AE"/>
    <w:rsid w:val="00171714"/>
    <w:rsid w:val="002F2D2D"/>
    <w:rsid w:val="003556F8"/>
    <w:rsid w:val="003857EA"/>
    <w:rsid w:val="003C6F58"/>
    <w:rsid w:val="00452B67"/>
    <w:rsid w:val="004F0202"/>
    <w:rsid w:val="005049B9"/>
    <w:rsid w:val="00506E53"/>
    <w:rsid w:val="005673F1"/>
    <w:rsid w:val="0057396C"/>
    <w:rsid w:val="005821E0"/>
    <w:rsid w:val="005A1C0F"/>
    <w:rsid w:val="007A528B"/>
    <w:rsid w:val="00861B2B"/>
    <w:rsid w:val="00892E49"/>
    <w:rsid w:val="00896EC3"/>
    <w:rsid w:val="009560C2"/>
    <w:rsid w:val="00996F2A"/>
    <w:rsid w:val="00A45E4F"/>
    <w:rsid w:val="00A63CAE"/>
    <w:rsid w:val="00AE3D9A"/>
    <w:rsid w:val="00B44359"/>
    <w:rsid w:val="00B5207C"/>
    <w:rsid w:val="00CF7507"/>
    <w:rsid w:val="00CF7816"/>
    <w:rsid w:val="00D05F20"/>
    <w:rsid w:val="00D45DD2"/>
    <w:rsid w:val="00F0686C"/>
    <w:rsid w:val="00F92857"/>
    <w:rsid w:val="02122EC5"/>
    <w:rsid w:val="0226483D"/>
    <w:rsid w:val="048B38CE"/>
    <w:rsid w:val="21B26285"/>
    <w:rsid w:val="27015705"/>
    <w:rsid w:val="286C3C9F"/>
    <w:rsid w:val="28C51D67"/>
    <w:rsid w:val="29A072F6"/>
    <w:rsid w:val="2B9308D2"/>
    <w:rsid w:val="2FE86A5E"/>
    <w:rsid w:val="353B3905"/>
    <w:rsid w:val="3BEC799C"/>
    <w:rsid w:val="3DD73D51"/>
    <w:rsid w:val="3DEA19BC"/>
    <w:rsid w:val="43DD3264"/>
    <w:rsid w:val="445777FC"/>
    <w:rsid w:val="458C6AFC"/>
    <w:rsid w:val="4BD92709"/>
    <w:rsid w:val="4DAE0980"/>
    <w:rsid w:val="53976D3B"/>
    <w:rsid w:val="5AA164B9"/>
    <w:rsid w:val="60B303F7"/>
    <w:rsid w:val="61715BB8"/>
    <w:rsid w:val="71F14A1B"/>
    <w:rsid w:val="73306E3E"/>
    <w:rsid w:val="73F42DC7"/>
    <w:rsid w:val="79F9382D"/>
    <w:rsid w:val="7A4660A9"/>
    <w:rsid w:val="7B791136"/>
    <w:rsid w:val="7C847734"/>
    <w:rsid w:val="7DB23CE1"/>
    <w:rsid w:val="7E082C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jc w:val="center"/>
      <w:outlineLvl w:val="1"/>
    </w:pPr>
    <w:rPr>
      <w:rFonts w:ascii="Cambria" w:hAnsi="Cambria" w:eastAsia="仿宋_GB2312" w:cs="Times New Roman"/>
      <w:b/>
      <w:bCs/>
      <w:kern w:val="2"/>
      <w:sz w:val="32"/>
      <w:szCs w:val="32"/>
    </w:rPr>
  </w:style>
  <w:style w:type="paragraph" w:styleId="3">
    <w:name w:val="heading 3"/>
    <w:basedOn w:val="1"/>
    <w:next w:val="1"/>
    <w:qFormat/>
    <w:uiPriority w:val="9"/>
    <w:pPr>
      <w:spacing w:before="100" w:beforeAutospacing="1" w:after="100" w:afterAutospacing="1"/>
      <w:outlineLvl w:val="2"/>
    </w:pPr>
    <w:rPr>
      <w:b/>
      <w:bCs/>
      <w:sz w:val="28"/>
      <w:szCs w:val="28"/>
    </w:rPr>
  </w:style>
  <w:style w:type="character" w:default="1" w:styleId="11">
    <w:name w:val="Default Paragraph Font"/>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styleId="4">
    <w:name w:val="annotation text"/>
    <w:basedOn w:val="1"/>
    <w:link w:val="14"/>
    <w:uiPriority w:val="0"/>
    <w:pPr>
      <w:jc w:val="left"/>
    </w:pPr>
  </w:style>
  <w:style w:type="paragraph" w:styleId="5">
    <w:name w:val="Balloon Text"/>
    <w:basedOn w:val="1"/>
    <w:link w:val="15"/>
    <w:uiPriority w:val="0"/>
    <w:rPr>
      <w:kern w:val="0"/>
      <w:sz w:val="18"/>
      <w:szCs w:val="18"/>
    </w:rPr>
  </w:style>
  <w:style w:type="paragraph" w:styleId="6">
    <w:name w:val="footer"/>
    <w:basedOn w:val="1"/>
    <w:link w:val="16"/>
    <w:uiPriority w:val="99"/>
    <w:pPr>
      <w:tabs>
        <w:tab w:val="center" w:pos="4153"/>
        <w:tab w:val="right" w:pos="8306"/>
      </w:tabs>
      <w:snapToGrid w:val="0"/>
      <w:jc w:val="left"/>
    </w:pPr>
    <w:rPr>
      <w:kern w:val="0"/>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spacing w:before="100" w:beforeAutospacing="1" w:after="100" w:afterAutospacing="1"/>
      <w:ind w:firstLine="480"/>
    </w:pPr>
  </w:style>
  <w:style w:type="paragraph" w:styleId="9">
    <w:name w:val="annotation subject"/>
    <w:basedOn w:val="4"/>
    <w:next w:val="4"/>
    <w:link w:val="18"/>
    <w:uiPriority w:val="0"/>
    <w:rPr>
      <w:b/>
      <w:bCs/>
    </w:rPr>
  </w:style>
  <w:style w:type="character" w:styleId="12">
    <w:name w:val="page number"/>
    <w:uiPriority w:val="0"/>
  </w:style>
  <w:style w:type="character" w:styleId="13">
    <w:name w:val="annotation reference"/>
    <w:uiPriority w:val="0"/>
    <w:rPr>
      <w:sz w:val="21"/>
      <w:szCs w:val="21"/>
    </w:rPr>
  </w:style>
  <w:style w:type="character" w:customStyle="1" w:styleId="14">
    <w:name w:val="批注文字 Char"/>
    <w:link w:val="4"/>
    <w:uiPriority w:val="0"/>
    <w:rPr>
      <w:kern w:val="2"/>
      <w:sz w:val="21"/>
      <w:szCs w:val="22"/>
    </w:rPr>
  </w:style>
  <w:style w:type="character" w:customStyle="1" w:styleId="15">
    <w:name w:val="批注框文本 Char"/>
    <w:link w:val="5"/>
    <w:uiPriority w:val="0"/>
    <w:rPr>
      <w:sz w:val="18"/>
      <w:szCs w:val="18"/>
    </w:rPr>
  </w:style>
  <w:style w:type="character" w:customStyle="1" w:styleId="16">
    <w:name w:val="页脚 Char"/>
    <w:link w:val="6"/>
    <w:uiPriority w:val="99"/>
    <w:rPr>
      <w:sz w:val="18"/>
      <w:szCs w:val="18"/>
    </w:rPr>
  </w:style>
  <w:style w:type="character" w:customStyle="1" w:styleId="17">
    <w:name w:val="页眉 Char"/>
    <w:link w:val="7"/>
    <w:uiPriority w:val="0"/>
    <w:rPr>
      <w:sz w:val="18"/>
      <w:szCs w:val="18"/>
    </w:rPr>
  </w:style>
  <w:style w:type="character" w:customStyle="1" w:styleId="18">
    <w:name w:val="批注主题 Char"/>
    <w:link w:val="9"/>
    <w:uiPriority w:val="0"/>
    <w:rPr>
      <w:b/>
      <w:bCs/>
      <w:kern w:val="2"/>
      <w:sz w:val="21"/>
      <w:szCs w:val="22"/>
    </w:rPr>
  </w:style>
  <w:style w:type="paragraph" w:customStyle="1" w:styleId="19">
    <w:name w:val="content"/>
    <w:basedOn w:val="20"/>
    <w:next w:val="20"/>
    <w:uiPriority w:val="0"/>
    <w:rPr>
      <w:rFonts w:hint="default"/>
    </w:rPr>
  </w:style>
  <w:style w:type="paragraph" w:customStyle="1" w:styleId="20">
    <w:name w:val="Default"/>
    <w:uiPriority w:val="0"/>
    <w:pPr>
      <w:widowControl w:val="0"/>
      <w:autoSpaceDE w:val="0"/>
      <w:autoSpaceDN w:val="0"/>
    </w:pPr>
    <w:rPr>
      <w:rFonts w:hint="eastAsia" w:ascii="宋体" w:hAnsi="宋体"/>
      <w:color w:val="000000"/>
      <w:sz w:val="24"/>
      <w:lang w:val="en-US" w:eastAsia="zh-CN" w:bidi="ar-SA"/>
    </w:rPr>
  </w:style>
  <w:style w:type="paragraph" w:customStyle="1" w:styleId="21">
    <w:name w:val=" Char"/>
    <w:basedOn w:val="1"/>
    <w:uiPriority w:val="0"/>
    <w:pPr>
      <w:tabs>
        <w:tab w:val="left" w:pos="360"/>
      </w:tabs>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gsi.cn</Company>
  <Pages>5</Pages>
  <Words>401</Words>
  <Characters>2286</Characters>
  <Lines>19</Lines>
  <Paragraphs>5</Paragraphs>
  <TotalTime>0</TotalTime>
  <ScaleCrop>false</ScaleCrop>
  <LinksUpToDate>false</LinksUpToDate>
  <CharactersWithSpaces>2682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2024-04-13T09:59:00Z</dcterms:created>
  <dc:creator>李靖</dc:creator>
  <cp:lastModifiedBy>中船防务董办</cp:lastModifiedBy>
  <cp:lastPrinted>2024-04-23T10:45:00Z</cp:lastPrinted>
  <dcterms:modified xsi:type="dcterms:W3CDTF">2024-04-25T14:33:27Z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E0F1AAA0A38E4EF38528AF8F6A829CB1_13</vt:lpwstr>
  </property>
</Properties>
</file>