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rPr>
      </w:pPr>
      <w:bookmarkStart w:id="0" w:name="_GoBack"/>
      <w:bookmarkEnd w:id="0"/>
      <w:r>
        <w:rPr>
          <w:lang/>
        </w:rPr>
        <w:drawing>
          <wp:anchor distT="0" distB="0" distL="114300" distR="114300" simplePos="0" relativeHeight="251659264" behindDoc="0" locked="0" layoutInCell="1" allowOverlap="1">
            <wp:simplePos x="0" y="0"/>
            <wp:positionH relativeFrom="column">
              <wp:posOffset>-15240</wp:posOffset>
            </wp:positionH>
            <wp:positionV relativeFrom="paragraph">
              <wp:posOffset>-223520</wp:posOffset>
            </wp:positionV>
            <wp:extent cx="5295900" cy="348615"/>
            <wp:effectExtent l="0" t="0" r="0" b="13335"/>
            <wp:wrapSquare wrapText="bothSides"/>
            <wp:docPr id="1" name="图片 1" descr="说明: 说明: CSSC+中船防务(左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说明: CSSC+中船防务(左右)"/>
                    <pic:cNvPicPr>
                      <a:picLocks noChangeAspect="1"/>
                    </pic:cNvPicPr>
                  </pic:nvPicPr>
                  <pic:blipFill>
                    <a:blip r:embed="rId5"/>
                    <a:stretch>
                      <a:fillRect/>
                    </a:stretch>
                  </pic:blipFill>
                  <pic:spPr>
                    <a:xfrm>
                      <a:off x="0" y="0"/>
                      <a:ext cx="5295900" cy="348615"/>
                    </a:xfrm>
                    <a:prstGeom prst="rect">
                      <a:avLst/>
                    </a:prstGeom>
                    <a:noFill/>
                    <a:ln>
                      <a:noFill/>
                    </a:ln>
                  </pic:spPr>
                </pic:pic>
              </a:graphicData>
            </a:graphic>
          </wp:anchor>
        </w:drawing>
      </w:r>
    </w:p>
    <w:p>
      <w:pPr>
        <w:jc w:val="center"/>
        <w:rPr>
          <w:rFonts w:hint="eastAsia" w:ascii="宋体" w:hAnsi="宋体"/>
          <w:b/>
          <w:sz w:val="32"/>
          <w:szCs w:val="32"/>
        </w:rPr>
      </w:pPr>
      <w:r>
        <w:rPr>
          <w:rFonts w:ascii="宋体" w:hAnsi="宋体" w:eastAsia="PMingLiU"/>
          <w:b/>
          <w:sz w:val="36"/>
          <w:szCs w:val="36"/>
          <w:lang w:eastAsia="zh-TW"/>
        </w:rPr>
        <w:t xml:space="preserve"> </w:t>
      </w:r>
      <w:r>
        <w:rPr>
          <w:rFonts w:hint="eastAsia" w:ascii="宋体" w:hAnsi="宋体" w:eastAsia="PMingLiU"/>
          <w:b/>
          <w:sz w:val="32"/>
          <w:szCs w:val="32"/>
          <w:lang w:eastAsia="zh-TW"/>
        </w:rPr>
        <w:t>提名委員會實施細則</w:t>
      </w:r>
      <w:r>
        <w:rPr>
          <w:rFonts w:hint="eastAsia" w:ascii="宋体" w:hAnsi="宋体"/>
          <w:b/>
          <w:sz w:val="32"/>
          <w:szCs w:val="32"/>
        </w:rPr>
        <w:t xml:space="preserve"> </w:t>
      </w:r>
    </w:p>
    <w:p>
      <w:pPr>
        <w:spacing w:line="520" w:lineRule="exact"/>
        <w:jc w:val="center"/>
        <w:rPr>
          <w:rFonts w:hint="eastAsia" w:ascii="宋体" w:hAnsi="宋体" w:eastAsia="PMingLiU"/>
          <w:sz w:val="24"/>
          <w:szCs w:val="24"/>
          <w:lang w:eastAsia="zh-TW"/>
        </w:rPr>
      </w:pPr>
      <w:r>
        <w:rPr>
          <w:rFonts w:hint="eastAsia" w:ascii="宋体" w:hAnsi="宋体" w:eastAsia="PMingLiU"/>
          <w:sz w:val="24"/>
          <w:szCs w:val="24"/>
          <w:lang w:eastAsia="zh-TW"/>
        </w:rPr>
        <w:t>（本細則經</w:t>
      </w:r>
      <w:r>
        <w:rPr>
          <w:rFonts w:ascii="宋体" w:hAnsi="宋体" w:eastAsia="PMingLiU"/>
          <w:sz w:val="24"/>
          <w:szCs w:val="24"/>
          <w:lang w:eastAsia="zh-TW"/>
        </w:rPr>
        <w:t>2004</w:t>
      </w:r>
      <w:r>
        <w:rPr>
          <w:rFonts w:hint="eastAsia" w:ascii="宋体" w:hAnsi="宋体" w:eastAsia="PMingLiU"/>
          <w:sz w:val="24"/>
          <w:szCs w:val="24"/>
          <w:lang w:eastAsia="zh-TW"/>
        </w:rPr>
        <w:t>年</w:t>
      </w:r>
      <w:r>
        <w:rPr>
          <w:rFonts w:ascii="宋体" w:hAnsi="宋体" w:eastAsia="PMingLiU"/>
          <w:sz w:val="24"/>
          <w:szCs w:val="24"/>
          <w:lang w:eastAsia="zh-TW"/>
        </w:rPr>
        <w:t>2</w:t>
      </w:r>
      <w:r>
        <w:rPr>
          <w:rFonts w:hint="eastAsia" w:ascii="宋体" w:hAnsi="宋体" w:eastAsia="PMingLiU"/>
          <w:sz w:val="24"/>
          <w:szCs w:val="24"/>
          <w:lang w:eastAsia="zh-TW"/>
        </w:rPr>
        <w:t>月</w:t>
      </w:r>
      <w:r>
        <w:rPr>
          <w:rFonts w:ascii="宋体" w:hAnsi="宋体" w:eastAsia="PMingLiU"/>
          <w:sz w:val="24"/>
          <w:szCs w:val="24"/>
          <w:lang w:eastAsia="zh-TW"/>
        </w:rPr>
        <w:t>6</w:t>
      </w:r>
      <w:r>
        <w:rPr>
          <w:rFonts w:hint="eastAsia" w:ascii="宋体" w:hAnsi="宋体" w:eastAsia="PMingLiU"/>
          <w:sz w:val="24"/>
          <w:szCs w:val="24"/>
          <w:lang w:eastAsia="zh-TW"/>
        </w:rPr>
        <w:t xml:space="preserve">日第四届董事會第十二次會議審議通過） </w:t>
      </w:r>
    </w:p>
    <w:p>
      <w:pPr>
        <w:spacing w:line="520" w:lineRule="exact"/>
        <w:jc w:val="center"/>
        <w:rPr>
          <w:rFonts w:hint="eastAsia" w:ascii="宋体" w:hAnsi="宋体" w:eastAsia="PMingLiU"/>
          <w:sz w:val="24"/>
          <w:szCs w:val="24"/>
          <w:lang w:eastAsia="zh-TW"/>
        </w:rPr>
      </w:pPr>
      <w:r>
        <w:rPr>
          <w:rFonts w:hint="eastAsia" w:ascii="宋体" w:hAnsi="宋体" w:eastAsia="PMingLiU"/>
          <w:sz w:val="24"/>
          <w:szCs w:val="24"/>
          <w:lang w:eastAsia="zh-TW"/>
        </w:rPr>
        <w:t>（</w:t>
      </w:r>
      <w:r>
        <w:rPr>
          <w:rFonts w:ascii="宋体" w:hAnsi="宋体" w:eastAsia="PMingLiU"/>
          <w:sz w:val="24"/>
          <w:szCs w:val="24"/>
          <w:lang w:eastAsia="zh-TW"/>
        </w:rPr>
        <w:t>2012</w:t>
      </w:r>
      <w:r>
        <w:rPr>
          <w:rFonts w:hint="eastAsia" w:ascii="宋体" w:hAnsi="宋体" w:eastAsia="PMingLiU"/>
          <w:sz w:val="24"/>
          <w:szCs w:val="24"/>
          <w:lang w:eastAsia="zh-TW"/>
        </w:rPr>
        <w:t>年</w:t>
      </w:r>
      <w:r>
        <w:rPr>
          <w:rFonts w:ascii="宋体" w:hAnsi="宋体" w:eastAsia="PMingLiU"/>
          <w:sz w:val="24"/>
          <w:szCs w:val="24"/>
          <w:lang w:eastAsia="zh-TW"/>
        </w:rPr>
        <w:t>3</w:t>
      </w:r>
      <w:r>
        <w:rPr>
          <w:rFonts w:hint="eastAsia" w:ascii="宋体" w:hAnsi="宋体" w:eastAsia="PMingLiU"/>
          <w:sz w:val="24"/>
          <w:szCs w:val="24"/>
          <w:lang w:eastAsia="zh-TW"/>
        </w:rPr>
        <w:t>月</w:t>
      </w:r>
      <w:r>
        <w:rPr>
          <w:rFonts w:ascii="宋体" w:hAnsi="宋体" w:eastAsia="PMingLiU"/>
          <w:sz w:val="24"/>
          <w:szCs w:val="24"/>
          <w:lang w:eastAsia="zh-TW"/>
        </w:rPr>
        <w:t>29</w:t>
      </w:r>
      <w:r>
        <w:rPr>
          <w:rFonts w:hint="eastAsia" w:ascii="宋体" w:hAnsi="宋体" w:eastAsia="PMingLiU"/>
          <w:sz w:val="24"/>
          <w:szCs w:val="24"/>
          <w:lang w:eastAsia="zh-TW"/>
        </w:rPr>
        <w:t xml:space="preserve">日第七届董事會第六次會議第一次修訂） </w:t>
      </w:r>
    </w:p>
    <w:p>
      <w:pPr>
        <w:spacing w:line="520" w:lineRule="exact"/>
        <w:jc w:val="center"/>
        <w:rPr>
          <w:rFonts w:hint="eastAsia" w:ascii="宋体" w:hAnsi="宋体" w:eastAsia="PMingLiU"/>
          <w:sz w:val="24"/>
          <w:szCs w:val="24"/>
          <w:lang w:eastAsia="zh-TW"/>
        </w:rPr>
      </w:pPr>
      <w:r>
        <w:rPr>
          <w:rFonts w:hint="eastAsia" w:ascii="宋体" w:hAnsi="宋体" w:eastAsia="PMingLiU"/>
          <w:sz w:val="24"/>
          <w:szCs w:val="24"/>
          <w:lang w:eastAsia="zh-TW"/>
        </w:rPr>
        <w:t>（</w:t>
      </w:r>
      <w:r>
        <w:rPr>
          <w:rFonts w:ascii="宋体" w:hAnsi="宋体" w:eastAsia="PMingLiU"/>
          <w:sz w:val="24"/>
          <w:szCs w:val="24"/>
          <w:lang w:eastAsia="zh-TW"/>
        </w:rPr>
        <w:t>2024</w:t>
      </w:r>
      <w:r>
        <w:rPr>
          <w:rFonts w:hint="eastAsia" w:ascii="宋体" w:hAnsi="宋体" w:eastAsia="PMingLiU"/>
          <w:sz w:val="24"/>
          <w:szCs w:val="24"/>
          <w:lang w:eastAsia="zh-TW"/>
        </w:rPr>
        <w:t>年</w:t>
      </w:r>
      <w:r>
        <w:rPr>
          <w:rFonts w:ascii="宋体" w:hAnsi="宋体" w:eastAsia="PMingLiU"/>
          <w:sz w:val="24"/>
          <w:szCs w:val="24"/>
          <w:lang w:eastAsia="zh-TW"/>
        </w:rPr>
        <w:t>4</w:t>
      </w:r>
      <w:r>
        <w:rPr>
          <w:rFonts w:hint="eastAsia" w:ascii="宋体" w:hAnsi="宋体" w:eastAsia="PMingLiU"/>
          <w:sz w:val="24"/>
          <w:szCs w:val="24"/>
          <w:lang w:eastAsia="zh-TW"/>
        </w:rPr>
        <w:t>月</w:t>
      </w:r>
      <w:r>
        <w:rPr>
          <w:rFonts w:ascii="宋体" w:hAnsi="宋体" w:eastAsia="PMingLiU"/>
          <w:sz w:val="24"/>
          <w:szCs w:val="24"/>
          <w:lang w:eastAsia="zh-TW"/>
        </w:rPr>
        <w:t>25</w:t>
      </w:r>
      <w:r>
        <w:rPr>
          <w:rFonts w:hint="eastAsia" w:ascii="宋体" w:hAnsi="宋体" w:eastAsia="PMingLiU"/>
          <w:sz w:val="24"/>
          <w:szCs w:val="24"/>
          <w:lang w:eastAsia="zh-TW"/>
        </w:rPr>
        <w:t>日第十一届董事會第四次會議第二次修訂）</w:t>
      </w:r>
    </w:p>
    <w:p>
      <w:pPr>
        <w:autoSpaceDE w:val="0"/>
        <w:autoSpaceDN w:val="0"/>
        <w:spacing w:before="312" w:beforeLines="100"/>
        <w:jc w:val="center"/>
        <w:rPr>
          <w:rFonts w:hint="eastAsia" w:ascii="宋体" w:hAnsi="宋体"/>
          <w:b/>
          <w:bCs/>
          <w:color w:val="000000"/>
          <w:sz w:val="28"/>
          <w:szCs w:val="28"/>
        </w:rPr>
      </w:pPr>
      <w:r>
        <w:rPr>
          <w:rFonts w:hint="eastAsia" w:ascii="宋体" w:hAnsi="宋体" w:eastAsia="PMingLiU"/>
          <w:b/>
          <w:bCs/>
          <w:color w:val="000000"/>
          <w:sz w:val="28"/>
          <w:szCs w:val="28"/>
          <w:lang w:eastAsia="zh-TW"/>
        </w:rPr>
        <w:t>第一章</w:t>
      </w:r>
      <w:r>
        <w:rPr>
          <w:rFonts w:ascii="宋体" w:hAnsi="宋体" w:eastAsia="PMingLiU"/>
          <w:b/>
          <w:bCs/>
          <w:color w:val="000000"/>
          <w:sz w:val="28"/>
          <w:szCs w:val="28"/>
          <w:lang w:eastAsia="zh-TW"/>
        </w:rPr>
        <w:t xml:space="preserve"> </w:t>
      </w:r>
      <w:r>
        <w:rPr>
          <w:rFonts w:hint="eastAsia" w:ascii="宋体" w:hAnsi="宋体" w:eastAsia="PMingLiU"/>
          <w:b/>
          <w:bCs/>
          <w:color w:val="000000"/>
          <w:sz w:val="28"/>
          <w:szCs w:val="28"/>
          <w:lang w:eastAsia="zh-TW"/>
        </w:rPr>
        <w:t>總則</w:t>
      </w:r>
    </w:p>
    <w:p>
      <w:pPr>
        <w:pStyle w:val="19"/>
        <w:spacing w:before="156" w:beforeLines="50" w:line="520" w:lineRule="exact"/>
        <w:ind w:firstLine="560"/>
        <w:rPr>
          <w:rFonts w:hint="eastAsia"/>
          <w:kern w:val="2"/>
          <w:szCs w:val="24"/>
        </w:rPr>
      </w:pPr>
      <w:r>
        <w:rPr>
          <w:rFonts w:hint="eastAsia" w:eastAsia="PMingLiU"/>
          <w:b/>
          <w:kern w:val="2"/>
          <w:szCs w:val="24"/>
          <w:lang w:eastAsia="zh-TW"/>
        </w:rPr>
        <w:t>第一條</w:t>
      </w:r>
      <w:r>
        <w:rPr>
          <w:rFonts w:eastAsia="PMingLiU"/>
          <w:kern w:val="2"/>
          <w:szCs w:val="24"/>
          <w:lang w:eastAsia="zh-TW"/>
        </w:rPr>
        <w:t xml:space="preserve">  </w:t>
      </w:r>
      <w:r>
        <w:rPr>
          <w:rFonts w:hint="eastAsia" w:eastAsia="PMingLiU"/>
          <w:color w:val="auto"/>
          <w:kern w:val="2"/>
          <w:szCs w:val="24"/>
          <w:lang w:eastAsia="zh-TW"/>
        </w:rPr>
        <w:t>爲規範中船海洋與防務裝備股份有限公司（以下簡稱“本公司”）高級管理人員的産生，優化董事會成員的組成，完善本公司治理結構，根據《中華人民共和國公司法》《上市公司治理準則》、公司股票上市所在地證券交易所各自的上市規則（以下簡稱“上市規則”）、《上海證券交易所上市公司自律監管指引第</w:t>
      </w:r>
      <w:r>
        <w:rPr>
          <w:rFonts w:eastAsia="PMingLiU"/>
          <w:color w:val="auto"/>
          <w:kern w:val="2"/>
          <w:szCs w:val="24"/>
          <w:lang w:eastAsia="zh-TW"/>
        </w:rPr>
        <w:t>1</w:t>
      </w:r>
      <w:r>
        <w:rPr>
          <w:rFonts w:hint="eastAsia" w:eastAsia="PMingLiU"/>
          <w:color w:val="auto"/>
          <w:kern w:val="2"/>
          <w:szCs w:val="24"/>
          <w:lang w:eastAsia="zh-TW"/>
        </w:rPr>
        <w:t xml:space="preserve">號——規範運作》、《公司章程》及其他有關規定，本公司設立董事會提名委員會，幷制定《提名委員會實施細則》，（以下簡稱“本實施細則”）。 </w:t>
      </w:r>
    </w:p>
    <w:p>
      <w:pPr>
        <w:spacing w:before="156" w:beforeLines="50" w:line="520" w:lineRule="exact"/>
        <w:ind w:firstLine="560"/>
        <w:rPr>
          <w:rFonts w:hint="eastAsia" w:ascii="宋体" w:hAnsi="宋体"/>
          <w:sz w:val="24"/>
          <w:szCs w:val="24"/>
        </w:rPr>
      </w:pPr>
      <w:r>
        <w:rPr>
          <w:rFonts w:hint="eastAsia" w:ascii="宋体" w:hAnsi="宋体" w:eastAsia="PMingLiU"/>
          <w:b/>
          <w:sz w:val="24"/>
          <w:szCs w:val="24"/>
          <w:lang w:eastAsia="zh-TW"/>
        </w:rPr>
        <w:t>第二條</w:t>
      </w:r>
      <w:r>
        <w:rPr>
          <w:rFonts w:ascii="宋体" w:hAnsi="宋体" w:eastAsia="PMingLiU"/>
          <w:sz w:val="24"/>
          <w:szCs w:val="24"/>
          <w:lang w:eastAsia="zh-TW"/>
        </w:rPr>
        <w:t xml:space="preserve">  </w:t>
      </w:r>
      <w:r>
        <w:rPr>
          <w:rFonts w:hint="eastAsia" w:ascii="宋体" w:hAnsi="宋体" w:eastAsia="PMingLiU"/>
          <w:sz w:val="24"/>
          <w:szCs w:val="24"/>
          <w:lang w:eastAsia="zh-TW"/>
        </w:rPr>
        <w:t>董事會提名委員會是董事會設立的專門工作機構，主要負責擬定董事、高級管理人員的選擇標準和程序，對董事、高級管理人員人選及其任職資格進行遴選、審核。</w:t>
      </w:r>
      <w:r>
        <w:rPr>
          <w:rFonts w:hint="eastAsia" w:ascii="宋体" w:hAnsi="宋体"/>
          <w:sz w:val="24"/>
          <w:szCs w:val="24"/>
        </w:rPr>
        <w:t xml:space="preserve"> </w:t>
      </w:r>
    </w:p>
    <w:p>
      <w:pPr>
        <w:autoSpaceDE w:val="0"/>
        <w:autoSpaceDN w:val="0"/>
        <w:spacing w:before="312" w:beforeLines="100"/>
        <w:jc w:val="center"/>
        <w:rPr>
          <w:rFonts w:hint="eastAsia" w:ascii="宋体" w:hAnsi="宋体"/>
          <w:b/>
          <w:bCs/>
          <w:color w:val="000000"/>
          <w:sz w:val="28"/>
          <w:szCs w:val="28"/>
        </w:rPr>
      </w:pPr>
      <w:r>
        <w:rPr>
          <w:rFonts w:hint="eastAsia" w:ascii="宋体" w:hAnsi="宋体" w:eastAsia="PMingLiU"/>
          <w:b/>
          <w:bCs/>
          <w:color w:val="000000"/>
          <w:sz w:val="28"/>
          <w:szCs w:val="28"/>
          <w:lang w:eastAsia="zh-TW"/>
        </w:rPr>
        <w:t>第二章</w:t>
      </w:r>
      <w:r>
        <w:rPr>
          <w:rFonts w:ascii="宋体" w:hAnsi="宋体" w:eastAsia="PMingLiU"/>
          <w:b/>
          <w:bCs/>
          <w:color w:val="000000"/>
          <w:sz w:val="28"/>
          <w:szCs w:val="28"/>
          <w:lang w:eastAsia="zh-TW"/>
        </w:rPr>
        <w:t xml:space="preserve"> </w:t>
      </w:r>
      <w:r>
        <w:rPr>
          <w:rFonts w:hint="eastAsia" w:ascii="宋体" w:hAnsi="宋体" w:eastAsia="PMingLiU"/>
          <w:b/>
          <w:bCs/>
          <w:color w:val="000000"/>
          <w:sz w:val="28"/>
          <w:szCs w:val="28"/>
          <w:lang w:eastAsia="zh-TW"/>
        </w:rPr>
        <w:t>人員組成</w:t>
      </w:r>
    </w:p>
    <w:p>
      <w:pPr>
        <w:pStyle w:val="19"/>
        <w:spacing w:before="156" w:beforeLines="50" w:line="520" w:lineRule="exact"/>
        <w:ind w:firstLine="540"/>
        <w:rPr>
          <w:rFonts w:hint="eastAsia"/>
          <w:kern w:val="2"/>
          <w:szCs w:val="24"/>
        </w:rPr>
      </w:pPr>
      <w:r>
        <w:rPr>
          <w:rFonts w:hint="eastAsia" w:eastAsia="PMingLiU"/>
          <w:b/>
          <w:kern w:val="2"/>
          <w:szCs w:val="24"/>
          <w:lang w:eastAsia="zh-TW"/>
        </w:rPr>
        <w:t>第三條</w:t>
      </w:r>
      <w:r>
        <w:rPr>
          <w:rFonts w:eastAsia="PMingLiU"/>
          <w:kern w:val="2"/>
          <w:szCs w:val="24"/>
          <w:lang w:eastAsia="zh-TW"/>
        </w:rPr>
        <w:t xml:space="preserve">  </w:t>
      </w:r>
      <w:r>
        <w:rPr>
          <w:rFonts w:hint="eastAsia" w:eastAsia="PMingLiU"/>
          <w:kern w:val="2"/>
          <w:szCs w:val="24"/>
          <w:lang w:eastAsia="zh-TW"/>
        </w:rPr>
        <w:t>提名委員會由三名董事組成，其中獨立非執行董事兩名。</w:t>
      </w:r>
      <w:r>
        <w:rPr>
          <w:rFonts w:hint="eastAsia"/>
          <w:kern w:val="2"/>
          <w:szCs w:val="24"/>
        </w:rPr>
        <w:t xml:space="preserve"> </w:t>
      </w:r>
    </w:p>
    <w:p>
      <w:pPr>
        <w:spacing w:before="156" w:beforeLines="50" w:line="520" w:lineRule="exact"/>
        <w:ind w:firstLine="540"/>
        <w:rPr>
          <w:rFonts w:hint="eastAsia" w:ascii="宋体" w:hAnsi="宋体"/>
          <w:sz w:val="24"/>
          <w:szCs w:val="24"/>
        </w:rPr>
      </w:pPr>
      <w:r>
        <w:rPr>
          <w:rFonts w:hint="eastAsia" w:ascii="宋体" w:hAnsi="宋体" w:eastAsia="PMingLiU"/>
          <w:b/>
          <w:color w:val="000000"/>
          <w:sz w:val="24"/>
          <w:szCs w:val="24"/>
          <w:lang w:eastAsia="zh-TW"/>
        </w:rPr>
        <w:t>第四條</w:t>
      </w:r>
      <w:r>
        <w:rPr>
          <w:rFonts w:ascii="宋体" w:hAnsi="宋体" w:eastAsia="PMingLiU"/>
          <w:sz w:val="24"/>
          <w:szCs w:val="24"/>
          <w:lang w:eastAsia="zh-TW"/>
        </w:rPr>
        <w:t xml:space="preserve">  </w:t>
      </w:r>
      <w:r>
        <w:rPr>
          <w:rFonts w:hint="eastAsia" w:ascii="宋体" w:hAnsi="宋体" w:eastAsia="PMingLiU"/>
          <w:sz w:val="24"/>
          <w:szCs w:val="24"/>
          <w:lang w:eastAsia="zh-TW"/>
        </w:rPr>
        <w:t>提名委員會委員由董事長、或二分之一以上獨立非執行董事或者全體董事的三分之一提名，幷由董事會選舉産生。</w:t>
      </w:r>
      <w:r>
        <w:rPr>
          <w:rFonts w:hint="eastAsia" w:ascii="宋体" w:hAnsi="宋体"/>
          <w:sz w:val="24"/>
          <w:szCs w:val="24"/>
        </w:rPr>
        <w:t xml:space="preserve"> </w:t>
      </w:r>
    </w:p>
    <w:p>
      <w:pPr>
        <w:spacing w:before="156" w:beforeLines="50" w:line="520" w:lineRule="exact"/>
        <w:ind w:firstLine="540"/>
        <w:rPr>
          <w:rFonts w:hint="eastAsia" w:ascii="宋体" w:hAnsi="宋体"/>
          <w:sz w:val="24"/>
          <w:szCs w:val="24"/>
        </w:rPr>
      </w:pPr>
      <w:r>
        <w:rPr>
          <w:rFonts w:hint="eastAsia" w:ascii="宋体" w:hAnsi="宋体" w:eastAsia="PMingLiU"/>
          <w:b/>
          <w:color w:val="000000"/>
          <w:sz w:val="24"/>
          <w:szCs w:val="24"/>
          <w:lang w:eastAsia="zh-TW"/>
        </w:rPr>
        <w:t>第五條</w:t>
      </w:r>
      <w:r>
        <w:rPr>
          <w:rFonts w:ascii="宋体" w:hAnsi="宋体" w:eastAsia="PMingLiU"/>
          <w:sz w:val="24"/>
          <w:szCs w:val="24"/>
          <w:lang w:eastAsia="zh-TW"/>
        </w:rPr>
        <w:t xml:space="preserve">  </w:t>
      </w:r>
      <w:r>
        <w:rPr>
          <w:rFonts w:hint="eastAsia" w:ascii="宋体" w:hAnsi="宋体" w:eastAsia="PMingLiU"/>
          <w:sz w:val="24"/>
          <w:szCs w:val="24"/>
          <w:lang w:eastAsia="zh-TW"/>
        </w:rPr>
        <w:t>提名委員會設主任委員一名，由獨立非執行董事委員擔任，負責主持委員會工作；主任委員在獨立非執行董事的委員內由提名委員會選舉，幷報請董事會批准後産生。</w:t>
      </w:r>
      <w:r>
        <w:rPr>
          <w:rFonts w:hint="eastAsia" w:ascii="宋体" w:hAnsi="宋体"/>
          <w:sz w:val="24"/>
          <w:szCs w:val="24"/>
        </w:rPr>
        <w:t xml:space="preserve"> </w:t>
      </w:r>
    </w:p>
    <w:p>
      <w:pPr>
        <w:spacing w:before="156" w:beforeLines="50" w:line="520" w:lineRule="exact"/>
        <w:ind w:firstLine="540"/>
        <w:rPr>
          <w:rFonts w:hint="eastAsia" w:ascii="宋体" w:hAnsi="宋体"/>
          <w:sz w:val="24"/>
          <w:szCs w:val="24"/>
          <w:lang w:eastAsia="zh-TW"/>
        </w:rPr>
      </w:pPr>
      <w:r>
        <w:rPr>
          <w:rFonts w:hint="eastAsia" w:ascii="宋体" w:hAnsi="宋体" w:eastAsia="PMingLiU"/>
          <w:b/>
          <w:color w:val="000000"/>
          <w:sz w:val="24"/>
          <w:szCs w:val="24"/>
          <w:lang w:eastAsia="zh-TW"/>
        </w:rPr>
        <w:t>第六條</w:t>
      </w:r>
      <w:r>
        <w:rPr>
          <w:rFonts w:ascii="宋体" w:hAnsi="宋体" w:eastAsia="PMingLiU"/>
          <w:sz w:val="24"/>
          <w:szCs w:val="24"/>
          <w:lang w:eastAsia="zh-TW"/>
        </w:rPr>
        <w:t xml:space="preserve">  </w:t>
      </w:r>
      <w:r>
        <w:rPr>
          <w:rFonts w:hint="eastAsia" w:ascii="宋体" w:hAnsi="宋体" w:eastAsia="PMingLiU"/>
          <w:sz w:val="24"/>
          <w:szCs w:val="24"/>
          <w:lang w:eastAsia="zh-TW"/>
        </w:rPr>
        <w:t>提名委員會委員的任期與董事任期一致，委員任期届滿，連選可以連任。期間如有委員不再擔任本公司董事職務，自動失去委員資格，幷由董事會根據上述第三至第五條規定補足委員人數。</w:t>
      </w:r>
      <w:r>
        <w:rPr>
          <w:rFonts w:hint="eastAsia" w:ascii="宋体" w:hAnsi="宋体"/>
          <w:sz w:val="24"/>
          <w:szCs w:val="24"/>
          <w:lang w:eastAsia="zh-TW"/>
        </w:rPr>
        <w:t xml:space="preserve"> </w:t>
      </w:r>
    </w:p>
    <w:p>
      <w:pPr>
        <w:spacing w:before="156" w:beforeLines="50" w:line="520" w:lineRule="exact"/>
        <w:ind w:firstLine="540"/>
        <w:rPr>
          <w:rFonts w:hint="eastAsia" w:ascii="宋体" w:hAnsi="宋体"/>
          <w:sz w:val="24"/>
          <w:szCs w:val="24"/>
          <w:lang w:eastAsia="zh-TW"/>
        </w:rPr>
      </w:pPr>
      <w:r>
        <w:rPr>
          <w:rFonts w:hint="eastAsia" w:ascii="宋体" w:hAnsi="宋体" w:eastAsia="PMingLiU"/>
          <w:b/>
          <w:sz w:val="24"/>
          <w:szCs w:val="24"/>
          <w:lang w:eastAsia="zh-TW"/>
        </w:rPr>
        <w:t>第七條</w:t>
      </w:r>
      <w:r>
        <w:rPr>
          <w:rFonts w:ascii="宋体" w:hAnsi="宋体" w:eastAsia="PMingLiU"/>
          <w:sz w:val="24"/>
          <w:szCs w:val="24"/>
          <w:lang w:eastAsia="zh-TW"/>
        </w:rPr>
        <w:t xml:space="preserve">  </w:t>
      </w:r>
      <w:r>
        <w:rPr>
          <w:rFonts w:hint="eastAsia" w:ascii="宋体" w:hAnsi="宋体" w:eastAsia="PMingLiU"/>
          <w:sz w:val="24"/>
          <w:szCs w:val="24"/>
          <w:lang w:eastAsia="zh-TW"/>
        </w:rPr>
        <w:t>本公司設立提名委員會工作小組，承擔提名委員會的工作聯絡、會議組織、材料準備和檔案管理等日常工作。提名委員會履行職責時，公司管理層及相關部門應當給予配合。</w:t>
      </w:r>
    </w:p>
    <w:p>
      <w:pPr>
        <w:autoSpaceDE w:val="0"/>
        <w:autoSpaceDN w:val="0"/>
        <w:spacing w:before="312" w:beforeLines="100"/>
        <w:jc w:val="center"/>
        <w:rPr>
          <w:rFonts w:hint="eastAsia" w:ascii="宋体" w:hAnsi="宋体"/>
          <w:b/>
          <w:bCs/>
          <w:color w:val="000000"/>
          <w:sz w:val="28"/>
          <w:szCs w:val="28"/>
          <w:lang w:eastAsia="zh-TW"/>
        </w:rPr>
      </w:pPr>
      <w:r>
        <w:rPr>
          <w:rFonts w:hint="eastAsia" w:ascii="宋体" w:hAnsi="宋体" w:eastAsia="PMingLiU"/>
          <w:b/>
          <w:bCs/>
          <w:color w:val="000000"/>
          <w:sz w:val="28"/>
          <w:szCs w:val="28"/>
          <w:lang w:eastAsia="zh-TW"/>
        </w:rPr>
        <w:t>第三章</w:t>
      </w:r>
      <w:r>
        <w:rPr>
          <w:rFonts w:ascii="宋体" w:hAnsi="宋体" w:eastAsia="PMingLiU"/>
          <w:b/>
          <w:bCs/>
          <w:color w:val="000000"/>
          <w:sz w:val="28"/>
          <w:szCs w:val="28"/>
          <w:lang w:eastAsia="zh-TW"/>
        </w:rPr>
        <w:t xml:space="preserve"> </w:t>
      </w:r>
      <w:r>
        <w:rPr>
          <w:rFonts w:hint="eastAsia" w:ascii="宋体" w:hAnsi="宋体" w:eastAsia="PMingLiU"/>
          <w:b/>
          <w:bCs/>
          <w:color w:val="000000"/>
          <w:sz w:val="28"/>
          <w:szCs w:val="28"/>
          <w:lang w:eastAsia="zh-TW"/>
        </w:rPr>
        <w:t>職責權限與履職方式</w:t>
      </w:r>
    </w:p>
    <w:p>
      <w:pPr>
        <w:pStyle w:val="19"/>
        <w:spacing w:before="156" w:beforeLines="50" w:line="520" w:lineRule="exact"/>
        <w:ind w:firstLine="480"/>
        <w:rPr>
          <w:rFonts w:hint="eastAsia"/>
          <w:kern w:val="2"/>
          <w:szCs w:val="24"/>
        </w:rPr>
      </w:pPr>
      <w:r>
        <w:rPr>
          <w:rFonts w:hint="eastAsia" w:eastAsia="PMingLiU"/>
          <w:b/>
          <w:kern w:val="2"/>
          <w:szCs w:val="24"/>
          <w:lang w:eastAsia="zh-TW"/>
        </w:rPr>
        <w:t>第八條</w:t>
      </w:r>
      <w:r>
        <w:rPr>
          <w:rFonts w:eastAsia="PMingLiU"/>
          <w:kern w:val="2"/>
          <w:szCs w:val="24"/>
          <w:lang w:eastAsia="zh-TW"/>
        </w:rPr>
        <w:t xml:space="preserve">  </w:t>
      </w:r>
      <w:r>
        <w:rPr>
          <w:rFonts w:hint="eastAsia" w:eastAsia="PMingLiU"/>
          <w:kern w:val="2"/>
          <w:szCs w:val="24"/>
          <w:lang w:eastAsia="zh-TW"/>
        </w:rPr>
        <w:t>提名委員會的主要職責權限：</w:t>
      </w:r>
      <w:r>
        <w:rPr>
          <w:rFonts w:hint="eastAsia"/>
          <w:kern w:val="2"/>
          <w:szCs w:val="24"/>
        </w:rPr>
        <w:t xml:space="preserve"> </w:t>
      </w:r>
    </w:p>
    <w:p>
      <w:pPr>
        <w:pStyle w:val="19"/>
        <w:spacing w:before="156" w:beforeLines="50" w:line="520" w:lineRule="exact"/>
        <w:ind w:firstLine="480"/>
        <w:rPr>
          <w:rFonts w:hint="eastAsia"/>
          <w:kern w:val="2"/>
          <w:szCs w:val="24"/>
        </w:rPr>
      </w:pPr>
      <w:r>
        <w:rPr>
          <w:rFonts w:hint="eastAsia" w:eastAsia="PMingLiU"/>
          <w:kern w:val="2"/>
          <w:szCs w:val="24"/>
          <w:lang w:eastAsia="zh-TW"/>
        </w:rPr>
        <w:t>（一）根據本公司經營活動情况、資産規模和股權結構，最少每年檢討董事會的架構、規模、人數及組成（包括技能、知識及經驗方面），幷就任何爲配合本公司的公司策略而擬對董事會作出的變動向董事會提出建議；</w:t>
      </w:r>
      <w:r>
        <w:rPr>
          <w:rFonts w:hint="eastAsia"/>
          <w:kern w:val="2"/>
          <w:szCs w:val="24"/>
        </w:rPr>
        <w:t xml:space="preserve"> </w:t>
      </w:r>
    </w:p>
    <w:p>
      <w:pPr>
        <w:spacing w:before="156" w:beforeLines="50" w:line="520" w:lineRule="exact"/>
        <w:ind w:firstLine="540"/>
        <w:rPr>
          <w:rFonts w:hint="eastAsia" w:ascii="宋体" w:hAnsi="宋体"/>
          <w:sz w:val="24"/>
          <w:szCs w:val="24"/>
        </w:rPr>
      </w:pPr>
      <w:r>
        <w:rPr>
          <w:rFonts w:hint="eastAsia" w:ascii="宋体" w:hAnsi="宋体" w:eastAsia="PMingLiU"/>
          <w:sz w:val="24"/>
          <w:szCs w:val="24"/>
          <w:lang w:eastAsia="zh-TW"/>
        </w:rPr>
        <w:t>（二）研究本公司董事、高級管理人員的選擇標準和程序，幷向董事會提出建議；</w:t>
      </w:r>
      <w:r>
        <w:rPr>
          <w:rFonts w:hint="eastAsia" w:ascii="宋体" w:hAnsi="宋体"/>
          <w:sz w:val="24"/>
          <w:szCs w:val="24"/>
        </w:rPr>
        <w:t xml:space="preserve"> </w:t>
      </w:r>
    </w:p>
    <w:p>
      <w:pPr>
        <w:spacing w:before="156" w:beforeLines="50" w:line="520" w:lineRule="exact"/>
        <w:ind w:firstLine="540"/>
        <w:rPr>
          <w:rFonts w:hint="eastAsia" w:ascii="宋体" w:hAnsi="宋体"/>
          <w:sz w:val="24"/>
          <w:szCs w:val="24"/>
        </w:rPr>
      </w:pPr>
      <w:r>
        <w:rPr>
          <w:rFonts w:hint="eastAsia" w:ascii="宋体" w:hAnsi="宋体" w:eastAsia="PMingLiU"/>
          <w:sz w:val="24"/>
          <w:szCs w:val="24"/>
          <w:lang w:eastAsia="zh-TW"/>
        </w:rPr>
        <w:t>（三）對董事候選人及高級管理人員任職資格進行審查幷提出建議；</w:t>
      </w:r>
      <w:r>
        <w:rPr>
          <w:rFonts w:hint="eastAsia" w:ascii="宋体" w:hAnsi="宋体"/>
          <w:sz w:val="24"/>
          <w:szCs w:val="24"/>
        </w:rPr>
        <w:t xml:space="preserve"> </w:t>
      </w:r>
    </w:p>
    <w:p>
      <w:pPr>
        <w:spacing w:before="156" w:beforeLines="50" w:line="520" w:lineRule="exact"/>
        <w:ind w:firstLine="540"/>
        <w:rPr>
          <w:rFonts w:hint="eastAsia" w:ascii="宋体" w:hAnsi="宋体"/>
          <w:sz w:val="24"/>
          <w:szCs w:val="24"/>
        </w:rPr>
      </w:pPr>
      <w:r>
        <w:rPr>
          <w:rFonts w:hint="eastAsia" w:ascii="宋体" w:hAnsi="宋体" w:eastAsia="PMingLiU"/>
          <w:sz w:val="24"/>
          <w:szCs w:val="24"/>
          <w:lang w:eastAsia="zh-TW"/>
        </w:rPr>
        <w:t>（四）物色具備合適資格可擔任董事或高級管理人員的人士，幷挑選提名有關人士出任董事或高級管理人員或就此向董事會提供意見；</w:t>
      </w:r>
      <w:r>
        <w:rPr>
          <w:rFonts w:hint="eastAsia" w:ascii="宋体" w:hAnsi="宋体"/>
          <w:sz w:val="24"/>
          <w:szCs w:val="24"/>
        </w:rPr>
        <w:t xml:space="preserve"> </w:t>
      </w:r>
    </w:p>
    <w:p>
      <w:pPr>
        <w:spacing w:before="156" w:beforeLines="50" w:line="520" w:lineRule="exact"/>
        <w:ind w:firstLine="540"/>
        <w:rPr>
          <w:rFonts w:hint="eastAsia" w:ascii="宋体" w:hAnsi="宋体"/>
          <w:sz w:val="24"/>
          <w:szCs w:val="24"/>
        </w:rPr>
      </w:pPr>
      <w:r>
        <w:rPr>
          <w:rFonts w:hint="eastAsia" w:ascii="宋体" w:hAnsi="宋体" w:eastAsia="PMingLiU"/>
          <w:sz w:val="24"/>
          <w:szCs w:val="24"/>
          <w:lang w:eastAsia="zh-TW"/>
        </w:rPr>
        <w:t>（五）就董事及高級管理人員的委任或重新委任以及董事、高級管理人員（尤其是董事長及總經理）繼任計劃向董事會提出建議；</w:t>
      </w:r>
      <w:r>
        <w:rPr>
          <w:rFonts w:hint="eastAsia" w:ascii="宋体" w:hAnsi="宋体"/>
          <w:sz w:val="24"/>
          <w:szCs w:val="24"/>
        </w:rPr>
        <w:t xml:space="preserve"> </w:t>
      </w:r>
    </w:p>
    <w:p>
      <w:pPr>
        <w:spacing w:before="156" w:beforeLines="50" w:line="520" w:lineRule="exact"/>
        <w:ind w:firstLine="540"/>
        <w:rPr>
          <w:rFonts w:hint="eastAsia" w:ascii="宋体" w:hAnsi="宋体"/>
          <w:sz w:val="24"/>
          <w:szCs w:val="24"/>
        </w:rPr>
      </w:pPr>
      <w:r>
        <w:rPr>
          <w:rFonts w:hint="eastAsia" w:ascii="宋体" w:hAnsi="宋体" w:eastAsia="PMingLiU"/>
          <w:sz w:val="24"/>
          <w:szCs w:val="24"/>
          <w:lang w:eastAsia="zh-TW"/>
        </w:rPr>
        <w:t>（六）對獨立董事候選人任職資格進行審查，幷形成明確的審查意見；公司應當在選舉獨立董事的股東會召開前披露該審查意見；</w:t>
      </w:r>
    </w:p>
    <w:p>
      <w:pPr>
        <w:spacing w:before="156" w:beforeLines="50" w:line="520" w:lineRule="exact"/>
        <w:ind w:firstLine="540"/>
        <w:rPr>
          <w:rFonts w:hint="eastAsia" w:ascii="宋体" w:hAnsi="宋体"/>
          <w:sz w:val="24"/>
          <w:szCs w:val="24"/>
        </w:rPr>
      </w:pPr>
      <w:r>
        <w:rPr>
          <w:rFonts w:hint="eastAsia" w:ascii="宋体" w:hAnsi="宋体" w:eastAsia="PMingLiU"/>
          <w:sz w:val="24"/>
          <w:szCs w:val="24"/>
          <w:lang w:eastAsia="zh-TW"/>
        </w:rPr>
        <w:t>（七）評核獨立非執行董事的獨立性；</w:t>
      </w:r>
      <w:r>
        <w:rPr>
          <w:rFonts w:hint="eastAsia" w:ascii="宋体" w:hAnsi="宋体"/>
          <w:sz w:val="24"/>
          <w:szCs w:val="24"/>
        </w:rPr>
        <w:t xml:space="preserve"> </w:t>
      </w:r>
    </w:p>
    <w:p>
      <w:pPr>
        <w:spacing w:before="156" w:beforeLines="50" w:line="520" w:lineRule="exact"/>
        <w:ind w:firstLine="540"/>
        <w:rPr>
          <w:rFonts w:hint="eastAsia" w:ascii="宋体" w:hAnsi="宋体"/>
          <w:sz w:val="24"/>
          <w:szCs w:val="24"/>
        </w:rPr>
      </w:pPr>
      <w:r>
        <w:rPr>
          <w:rFonts w:hint="eastAsia" w:ascii="宋体" w:hAnsi="宋体" w:eastAsia="PMingLiU"/>
          <w:sz w:val="24"/>
          <w:szCs w:val="24"/>
          <w:lang w:eastAsia="zh-TW"/>
        </w:rPr>
        <w:t>（八）適用法律、法規、上市規則規定的事宜及董事會授權的其他事宜。</w:t>
      </w:r>
      <w:r>
        <w:rPr>
          <w:rFonts w:hint="eastAsia" w:ascii="宋体" w:hAnsi="宋体"/>
          <w:sz w:val="24"/>
          <w:szCs w:val="24"/>
        </w:rPr>
        <w:t xml:space="preserve"> </w:t>
      </w:r>
    </w:p>
    <w:p>
      <w:pPr>
        <w:spacing w:before="156" w:beforeLines="50" w:line="520" w:lineRule="exact"/>
        <w:ind w:firstLine="480" w:firstLineChars="200"/>
        <w:rPr>
          <w:rFonts w:hint="eastAsia" w:ascii="宋体" w:hAnsi="宋体"/>
          <w:sz w:val="24"/>
          <w:szCs w:val="24"/>
        </w:rPr>
      </w:pPr>
      <w:r>
        <w:rPr>
          <w:rFonts w:hint="eastAsia" w:ascii="宋体" w:hAnsi="宋体" w:eastAsia="PMingLiU"/>
          <w:b/>
          <w:color w:val="000000"/>
          <w:sz w:val="24"/>
          <w:szCs w:val="24"/>
          <w:lang w:eastAsia="zh-TW"/>
        </w:rPr>
        <w:t>第九條</w:t>
      </w:r>
      <w:r>
        <w:rPr>
          <w:rFonts w:ascii="宋体" w:hAnsi="宋体" w:eastAsia="PMingLiU"/>
          <w:b/>
          <w:color w:val="000000"/>
          <w:sz w:val="24"/>
          <w:szCs w:val="24"/>
          <w:lang w:eastAsia="zh-TW"/>
        </w:rPr>
        <w:t xml:space="preserve">  </w:t>
      </w:r>
      <w:r>
        <w:rPr>
          <w:rFonts w:hint="eastAsia" w:eastAsia="PMingLiU"/>
          <w:sz w:val="24"/>
          <w:lang w:eastAsia="zh-TW"/>
        </w:rPr>
        <w:t>提名委員會在履行相關職責時，應充分考慮董事會成員，以至全體員工（包括高級管理人員）的多元化政策（包括但不限于性別、年齡、文化及教育背景或專業經驗）。</w:t>
      </w:r>
    </w:p>
    <w:p>
      <w:pPr>
        <w:spacing w:before="156" w:beforeLines="50" w:line="520" w:lineRule="exact"/>
        <w:ind w:firstLine="540"/>
        <w:rPr>
          <w:rFonts w:hint="eastAsia" w:ascii="宋体" w:hAnsi="宋体"/>
          <w:b/>
          <w:sz w:val="24"/>
          <w:szCs w:val="24"/>
        </w:rPr>
      </w:pPr>
      <w:r>
        <w:rPr>
          <w:rFonts w:hint="eastAsia" w:ascii="宋体" w:hAnsi="宋体" w:eastAsia="PMingLiU"/>
          <w:b/>
          <w:color w:val="000000"/>
          <w:sz w:val="24"/>
          <w:szCs w:val="24"/>
          <w:lang w:eastAsia="zh-TW"/>
        </w:rPr>
        <w:t>第十條</w:t>
      </w:r>
      <w:r>
        <w:rPr>
          <w:rFonts w:ascii="宋体" w:hAnsi="宋体" w:eastAsia="PMingLiU"/>
          <w:b/>
          <w:color w:val="000000"/>
          <w:sz w:val="24"/>
          <w:szCs w:val="24"/>
          <w:lang w:eastAsia="zh-TW"/>
        </w:rPr>
        <w:t xml:space="preserve"> </w:t>
      </w:r>
      <w:r>
        <w:rPr>
          <w:rFonts w:ascii="宋体" w:hAnsi="宋体" w:eastAsia="PMingLiU"/>
          <w:sz w:val="24"/>
          <w:szCs w:val="24"/>
          <w:lang w:eastAsia="zh-TW"/>
        </w:rPr>
        <w:t xml:space="preserve"> </w:t>
      </w:r>
      <w:r>
        <w:rPr>
          <w:rFonts w:hint="eastAsia" w:ascii="宋体" w:hAnsi="宋体" w:eastAsia="PMingLiU"/>
          <w:sz w:val="24"/>
          <w:szCs w:val="24"/>
          <w:lang w:eastAsia="zh-TW"/>
        </w:rPr>
        <w:t>提名委員會對董事會負責，委員會的提案提交董事會審議决定。</w:t>
      </w:r>
      <w:r>
        <w:rPr>
          <w:rFonts w:hint="eastAsia" w:ascii="宋体" w:hAnsi="宋体"/>
          <w:sz w:val="24"/>
          <w:szCs w:val="24"/>
        </w:rPr>
        <w:t xml:space="preserve"> </w:t>
      </w:r>
    </w:p>
    <w:p>
      <w:pPr>
        <w:spacing w:before="156" w:beforeLines="50" w:line="520" w:lineRule="exact"/>
        <w:ind w:firstLine="480" w:firstLineChars="200"/>
        <w:jc w:val="left"/>
        <w:rPr>
          <w:rFonts w:hint="eastAsia" w:ascii="宋体" w:hAnsi="宋体"/>
          <w:sz w:val="24"/>
          <w:szCs w:val="24"/>
        </w:rPr>
      </w:pPr>
      <w:r>
        <w:rPr>
          <w:rFonts w:hint="eastAsia" w:ascii="宋体" w:hAnsi="宋体" w:eastAsia="PMingLiU"/>
          <w:b/>
          <w:color w:val="000000"/>
          <w:sz w:val="24"/>
          <w:szCs w:val="24"/>
          <w:lang w:eastAsia="zh-TW"/>
        </w:rPr>
        <w:t>第十一條</w:t>
      </w:r>
      <w:r>
        <w:rPr>
          <w:rFonts w:ascii="宋体" w:hAnsi="宋体" w:eastAsia="PMingLiU"/>
          <w:sz w:val="24"/>
          <w:szCs w:val="24"/>
          <w:lang w:eastAsia="zh-TW"/>
        </w:rPr>
        <w:t xml:space="preserve">  </w:t>
      </w:r>
      <w:r>
        <w:rPr>
          <w:rFonts w:hint="eastAsia" w:ascii="宋体" w:hAnsi="宋体" w:eastAsia="PMingLiU"/>
          <w:sz w:val="24"/>
          <w:szCs w:val="24"/>
          <w:lang w:eastAsia="zh-TW"/>
        </w:rPr>
        <w:t>提名委員會依據相關法律法規和本公司章程的規定，結合本公司實際情况，研究本公司的董事、高級管理人員的當選條件、選擇程序和任職期限，形成决議後備案幷提交董事會通過，幷遵照實施。</w:t>
      </w:r>
      <w:r>
        <w:rPr>
          <w:rFonts w:hint="eastAsia" w:ascii="宋体" w:hAnsi="宋体"/>
          <w:sz w:val="24"/>
          <w:szCs w:val="24"/>
        </w:rPr>
        <w:t xml:space="preserve"> </w:t>
      </w:r>
    </w:p>
    <w:p>
      <w:pPr>
        <w:spacing w:before="156" w:beforeLines="50" w:line="520" w:lineRule="exact"/>
        <w:ind w:firstLine="480" w:firstLineChars="200"/>
        <w:jc w:val="left"/>
        <w:rPr>
          <w:rFonts w:hint="eastAsia" w:ascii="宋体" w:hAnsi="宋体"/>
          <w:sz w:val="24"/>
          <w:szCs w:val="24"/>
        </w:rPr>
      </w:pPr>
      <w:r>
        <w:rPr>
          <w:rFonts w:hint="eastAsia" w:ascii="宋体" w:hAnsi="宋体" w:eastAsia="PMingLiU"/>
          <w:b/>
          <w:color w:val="000000"/>
          <w:sz w:val="24"/>
          <w:szCs w:val="24"/>
          <w:lang w:eastAsia="zh-TW"/>
        </w:rPr>
        <w:t>第十二條</w:t>
      </w:r>
      <w:r>
        <w:rPr>
          <w:rFonts w:ascii="宋体" w:hAnsi="宋体" w:eastAsia="PMingLiU"/>
          <w:sz w:val="24"/>
          <w:szCs w:val="24"/>
          <w:lang w:eastAsia="zh-TW"/>
        </w:rPr>
        <w:t xml:space="preserve">  </w:t>
      </w:r>
      <w:r>
        <w:rPr>
          <w:rFonts w:hint="eastAsia" w:ascii="宋体" w:hAnsi="宋体" w:eastAsia="PMingLiU"/>
          <w:sz w:val="24"/>
          <w:szCs w:val="24"/>
          <w:lang w:eastAsia="zh-TW"/>
        </w:rPr>
        <w:t>董事、高級管理人員的選任程序：</w:t>
      </w:r>
      <w:r>
        <w:rPr>
          <w:rFonts w:hint="eastAsia" w:ascii="宋体" w:hAnsi="宋体"/>
          <w:sz w:val="24"/>
          <w:szCs w:val="24"/>
        </w:rPr>
        <w:t xml:space="preserve"> </w:t>
      </w:r>
    </w:p>
    <w:p>
      <w:pPr>
        <w:spacing w:before="156" w:beforeLines="50" w:line="520" w:lineRule="exact"/>
        <w:ind w:firstLine="480" w:firstLineChars="200"/>
        <w:jc w:val="left"/>
        <w:rPr>
          <w:rFonts w:hint="eastAsia" w:ascii="宋体" w:hAnsi="宋体"/>
          <w:sz w:val="24"/>
          <w:szCs w:val="24"/>
        </w:rPr>
      </w:pPr>
      <w:r>
        <w:rPr>
          <w:rFonts w:hint="eastAsia" w:ascii="宋体" w:hAnsi="宋体" w:eastAsia="PMingLiU"/>
          <w:sz w:val="24"/>
          <w:szCs w:val="24"/>
          <w:lang w:eastAsia="zh-TW"/>
        </w:rPr>
        <w:t>（一）提名委員會應積極與本公司各有關部門進行交流，研究本公司對新董事、高級管理人員的需求情况，幷形成書面材料；</w:t>
      </w:r>
      <w:r>
        <w:rPr>
          <w:rFonts w:hint="eastAsia" w:ascii="宋体" w:hAnsi="宋体"/>
          <w:sz w:val="24"/>
          <w:szCs w:val="24"/>
        </w:rPr>
        <w:t xml:space="preserve"> </w:t>
      </w:r>
    </w:p>
    <w:p>
      <w:pPr>
        <w:spacing w:before="156" w:beforeLines="50" w:line="520" w:lineRule="exact"/>
        <w:ind w:firstLine="480" w:firstLineChars="200"/>
        <w:jc w:val="left"/>
        <w:rPr>
          <w:rFonts w:hint="eastAsia" w:ascii="宋体" w:hAnsi="宋体"/>
          <w:sz w:val="24"/>
          <w:szCs w:val="24"/>
        </w:rPr>
      </w:pPr>
      <w:r>
        <w:rPr>
          <w:rFonts w:hint="eastAsia" w:ascii="宋体" w:hAnsi="宋体" w:eastAsia="PMingLiU"/>
          <w:sz w:val="24"/>
          <w:szCs w:val="24"/>
          <w:lang w:eastAsia="zh-TW"/>
        </w:rPr>
        <w:t>（二）提名委員會可在本公司、控股（參股）企業內部以及人才市場等廣泛搜尋合格的董事、高級管理人員人選；</w:t>
      </w:r>
      <w:r>
        <w:rPr>
          <w:rFonts w:hint="eastAsia" w:ascii="宋体" w:hAnsi="宋体"/>
          <w:sz w:val="24"/>
          <w:szCs w:val="24"/>
        </w:rPr>
        <w:t xml:space="preserve"> </w:t>
      </w:r>
    </w:p>
    <w:p>
      <w:pPr>
        <w:spacing w:before="156" w:beforeLines="50" w:line="520" w:lineRule="exact"/>
        <w:ind w:firstLine="480" w:firstLineChars="200"/>
        <w:jc w:val="left"/>
        <w:rPr>
          <w:rFonts w:hint="eastAsia" w:ascii="宋体" w:hAnsi="宋体"/>
          <w:sz w:val="24"/>
          <w:szCs w:val="24"/>
        </w:rPr>
      </w:pPr>
      <w:r>
        <w:rPr>
          <w:rFonts w:hint="eastAsia" w:ascii="宋体" w:hAnsi="宋体" w:eastAsia="PMingLiU"/>
          <w:sz w:val="24"/>
          <w:szCs w:val="24"/>
          <w:lang w:eastAsia="zh-TW"/>
        </w:rPr>
        <w:t>（三）搜集初選人的職業、學歷、職稱、詳細的工作經歷、全部兼職等情况，形成書面材料；</w:t>
      </w:r>
      <w:r>
        <w:rPr>
          <w:rFonts w:hint="eastAsia" w:ascii="宋体" w:hAnsi="宋体"/>
          <w:sz w:val="24"/>
          <w:szCs w:val="24"/>
        </w:rPr>
        <w:t xml:space="preserve"> </w:t>
      </w:r>
    </w:p>
    <w:p>
      <w:pPr>
        <w:spacing w:before="156" w:beforeLines="50" w:line="520" w:lineRule="exact"/>
        <w:ind w:firstLine="480" w:firstLineChars="200"/>
        <w:jc w:val="left"/>
        <w:rPr>
          <w:rFonts w:hint="eastAsia" w:ascii="宋体" w:hAnsi="宋体"/>
          <w:sz w:val="24"/>
          <w:szCs w:val="24"/>
        </w:rPr>
      </w:pPr>
      <w:r>
        <w:rPr>
          <w:rFonts w:hint="eastAsia" w:ascii="宋体" w:hAnsi="宋体" w:eastAsia="PMingLiU"/>
          <w:sz w:val="24"/>
          <w:szCs w:val="24"/>
          <w:lang w:eastAsia="zh-TW"/>
        </w:rPr>
        <w:t>（四）徵求被提名人對提名的意見。若被提名人不同意其被提名的，不能將其作爲董事、高級管理人員候選人；</w:t>
      </w:r>
      <w:r>
        <w:rPr>
          <w:rFonts w:hint="eastAsia" w:ascii="宋体" w:hAnsi="宋体"/>
          <w:sz w:val="24"/>
          <w:szCs w:val="24"/>
        </w:rPr>
        <w:t xml:space="preserve"> </w:t>
      </w:r>
    </w:p>
    <w:p>
      <w:pPr>
        <w:spacing w:before="156" w:beforeLines="50" w:line="520" w:lineRule="exact"/>
        <w:ind w:firstLine="480" w:firstLineChars="200"/>
        <w:jc w:val="left"/>
        <w:rPr>
          <w:rFonts w:hint="eastAsia" w:ascii="宋体" w:hAnsi="宋体"/>
          <w:sz w:val="24"/>
          <w:szCs w:val="24"/>
        </w:rPr>
      </w:pPr>
      <w:r>
        <w:rPr>
          <w:rFonts w:hint="eastAsia" w:ascii="宋体" w:hAnsi="宋体" w:eastAsia="PMingLiU"/>
          <w:sz w:val="24"/>
          <w:szCs w:val="24"/>
          <w:lang w:eastAsia="zh-TW"/>
        </w:rPr>
        <w:t>（五）召集提名委員會會議，根據董事、高級管理人員的任職條件，對初選人員進行資格審查；</w:t>
      </w:r>
      <w:r>
        <w:rPr>
          <w:rFonts w:hint="eastAsia" w:ascii="宋体" w:hAnsi="宋体"/>
          <w:sz w:val="24"/>
          <w:szCs w:val="24"/>
        </w:rPr>
        <w:t xml:space="preserve"> </w:t>
      </w:r>
    </w:p>
    <w:p>
      <w:pPr>
        <w:spacing w:before="156" w:beforeLines="50" w:line="520" w:lineRule="exact"/>
        <w:ind w:firstLine="480" w:firstLineChars="200"/>
        <w:jc w:val="left"/>
        <w:rPr>
          <w:rFonts w:hint="eastAsia" w:ascii="宋体" w:hAnsi="宋体"/>
          <w:sz w:val="24"/>
          <w:szCs w:val="24"/>
        </w:rPr>
      </w:pPr>
      <w:r>
        <w:rPr>
          <w:rFonts w:hint="eastAsia" w:ascii="宋体" w:hAnsi="宋体" w:eastAsia="PMingLiU"/>
          <w:sz w:val="24"/>
          <w:szCs w:val="24"/>
          <w:lang w:eastAsia="zh-TW"/>
        </w:rPr>
        <w:t>（六）在董事會召開前，向董事會提交董事候選人和高級管理人員人選的建議和相關材料；</w:t>
      </w:r>
      <w:r>
        <w:rPr>
          <w:rFonts w:hint="eastAsia" w:ascii="宋体" w:hAnsi="宋体"/>
          <w:sz w:val="24"/>
          <w:szCs w:val="24"/>
        </w:rPr>
        <w:t xml:space="preserve"> </w:t>
      </w:r>
    </w:p>
    <w:p>
      <w:pPr>
        <w:spacing w:before="156" w:beforeLines="50" w:line="520" w:lineRule="exact"/>
        <w:ind w:firstLine="480" w:firstLineChars="200"/>
        <w:jc w:val="left"/>
        <w:rPr>
          <w:rFonts w:hint="eastAsia" w:ascii="宋体" w:hAnsi="宋体"/>
          <w:sz w:val="24"/>
          <w:szCs w:val="24"/>
        </w:rPr>
      </w:pPr>
      <w:r>
        <w:rPr>
          <w:rFonts w:hint="eastAsia" w:ascii="宋体" w:hAnsi="宋体" w:eastAsia="PMingLiU"/>
          <w:sz w:val="24"/>
          <w:szCs w:val="24"/>
          <w:lang w:eastAsia="zh-TW"/>
        </w:rPr>
        <w:t>（七）根據董事會决定和反饋意見進行其他後續工作。</w:t>
      </w:r>
      <w:r>
        <w:rPr>
          <w:rFonts w:hint="eastAsia" w:ascii="宋体" w:hAnsi="宋体"/>
          <w:sz w:val="24"/>
          <w:szCs w:val="24"/>
        </w:rPr>
        <w:t xml:space="preserve"> </w:t>
      </w:r>
    </w:p>
    <w:p>
      <w:pPr>
        <w:autoSpaceDE w:val="0"/>
        <w:autoSpaceDN w:val="0"/>
        <w:spacing w:before="312" w:beforeLines="100"/>
        <w:jc w:val="center"/>
        <w:rPr>
          <w:rFonts w:hint="eastAsia" w:ascii="宋体" w:hAnsi="宋体"/>
          <w:b/>
          <w:bCs/>
          <w:color w:val="000000"/>
          <w:sz w:val="28"/>
          <w:szCs w:val="28"/>
        </w:rPr>
      </w:pPr>
      <w:r>
        <w:rPr>
          <w:rFonts w:hint="eastAsia" w:ascii="宋体" w:hAnsi="宋体" w:eastAsia="PMingLiU"/>
          <w:b/>
          <w:bCs/>
          <w:color w:val="000000"/>
          <w:sz w:val="28"/>
          <w:szCs w:val="28"/>
          <w:lang w:eastAsia="zh-TW"/>
        </w:rPr>
        <w:t>第四章</w:t>
      </w:r>
      <w:r>
        <w:rPr>
          <w:rFonts w:ascii="宋体" w:hAnsi="宋体" w:eastAsia="PMingLiU"/>
          <w:b/>
          <w:bCs/>
          <w:color w:val="000000"/>
          <w:sz w:val="28"/>
          <w:szCs w:val="28"/>
          <w:lang w:eastAsia="zh-TW"/>
        </w:rPr>
        <w:t xml:space="preserve"> </w:t>
      </w:r>
      <w:r>
        <w:rPr>
          <w:rFonts w:hint="eastAsia" w:ascii="宋体" w:hAnsi="宋体" w:eastAsia="PMingLiU"/>
          <w:b/>
          <w:bCs/>
          <w:color w:val="000000"/>
          <w:sz w:val="28"/>
          <w:szCs w:val="28"/>
          <w:lang w:eastAsia="zh-TW"/>
        </w:rPr>
        <w:t>議事規則</w:t>
      </w:r>
    </w:p>
    <w:p>
      <w:pPr>
        <w:spacing w:before="156" w:beforeLines="50" w:line="520" w:lineRule="exact"/>
        <w:ind w:firstLine="480" w:firstLineChars="200"/>
        <w:jc w:val="left"/>
        <w:rPr>
          <w:rFonts w:hint="eastAsia" w:ascii="宋体" w:hAnsi="宋体"/>
          <w:sz w:val="24"/>
          <w:szCs w:val="24"/>
        </w:rPr>
      </w:pPr>
      <w:r>
        <w:rPr>
          <w:rFonts w:hint="eastAsia" w:ascii="宋体" w:hAnsi="宋体" w:eastAsia="PMingLiU"/>
          <w:b/>
          <w:color w:val="000000"/>
          <w:sz w:val="24"/>
          <w:szCs w:val="24"/>
          <w:lang w:eastAsia="zh-TW"/>
        </w:rPr>
        <w:t>第十三條</w:t>
      </w:r>
      <w:r>
        <w:rPr>
          <w:rFonts w:ascii="宋体" w:hAnsi="宋体" w:eastAsia="PMingLiU"/>
          <w:sz w:val="24"/>
          <w:szCs w:val="24"/>
          <w:lang w:eastAsia="zh-TW"/>
        </w:rPr>
        <w:t xml:space="preserve">  </w:t>
      </w:r>
      <w:r>
        <w:rPr>
          <w:rFonts w:hint="eastAsia" w:ascii="宋体" w:hAnsi="宋体" w:eastAsia="PMingLiU"/>
          <w:sz w:val="24"/>
          <w:szCs w:val="24"/>
          <w:lang w:eastAsia="zh-TW"/>
        </w:rPr>
        <w:t>提名委員會會議須經兩名及以上委員提議，或主任委員認爲有必要時，方可召開。</w:t>
      </w:r>
    </w:p>
    <w:p>
      <w:pPr>
        <w:spacing w:before="156" w:beforeLines="50" w:line="520" w:lineRule="exact"/>
        <w:ind w:firstLine="480" w:firstLineChars="200"/>
        <w:jc w:val="left"/>
        <w:rPr>
          <w:rFonts w:hint="eastAsia" w:ascii="宋体" w:hAnsi="宋体"/>
          <w:sz w:val="24"/>
          <w:szCs w:val="24"/>
        </w:rPr>
      </w:pPr>
      <w:r>
        <w:rPr>
          <w:rFonts w:hint="eastAsia" w:ascii="宋体" w:hAnsi="宋体" w:eastAsia="PMingLiU"/>
          <w:sz w:val="24"/>
          <w:szCs w:val="24"/>
          <w:lang w:eastAsia="zh-TW"/>
        </w:rPr>
        <w:t>提名委員會會議必須有三分之二以上成員出席方可舉行。</w:t>
      </w:r>
    </w:p>
    <w:p>
      <w:pPr>
        <w:spacing w:before="156" w:beforeLines="50" w:line="520" w:lineRule="exact"/>
        <w:ind w:firstLine="480" w:firstLineChars="200"/>
        <w:rPr>
          <w:rFonts w:ascii="宋体" w:hAnsi="宋体"/>
          <w:sz w:val="24"/>
          <w:szCs w:val="24"/>
        </w:rPr>
      </w:pPr>
      <w:r>
        <w:rPr>
          <w:rFonts w:hint="eastAsia" w:ascii="宋体" w:hAnsi="宋体" w:eastAsia="PMingLiU"/>
          <w:b/>
          <w:color w:val="000000"/>
          <w:sz w:val="24"/>
          <w:szCs w:val="24"/>
          <w:lang w:eastAsia="zh-TW"/>
        </w:rPr>
        <w:t>第十四條</w:t>
      </w:r>
      <w:r>
        <w:rPr>
          <w:rFonts w:ascii="宋体" w:hAnsi="宋体" w:eastAsia="PMingLiU"/>
          <w:b/>
          <w:color w:val="000000"/>
          <w:sz w:val="24"/>
          <w:szCs w:val="24"/>
          <w:lang w:eastAsia="zh-TW"/>
        </w:rPr>
        <w:t xml:space="preserve">  </w:t>
      </w:r>
      <w:r>
        <w:rPr>
          <w:rFonts w:hint="eastAsia" w:ascii="宋体" w:hAnsi="宋体" w:eastAsia="PMingLiU"/>
          <w:sz w:val="24"/>
          <w:szCs w:val="24"/>
          <w:lang w:eastAsia="zh-TW"/>
        </w:rPr>
        <w:t>提名委員會可以采用現場方式、通訊方式（含視頻、電話、傳真、電子郵件等方式）或現場與通訊相結合的方式召開。</w:t>
      </w:r>
    </w:p>
    <w:p>
      <w:pPr>
        <w:spacing w:before="156" w:beforeLines="50" w:line="520" w:lineRule="exact"/>
        <w:ind w:firstLine="480" w:firstLineChars="200"/>
        <w:jc w:val="left"/>
        <w:rPr>
          <w:rFonts w:hint="eastAsia" w:ascii="宋体" w:hAnsi="宋体"/>
          <w:sz w:val="24"/>
          <w:szCs w:val="24"/>
          <w:lang w:eastAsia="zh-TW"/>
        </w:rPr>
      </w:pPr>
      <w:r>
        <w:rPr>
          <w:rFonts w:hint="eastAsia" w:ascii="宋体" w:hAnsi="宋体" w:eastAsia="PMingLiU"/>
          <w:b/>
          <w:color w:val="000000"/>
          <w:sz w:val="24"/>
          <w:szCs w:val="24"/>
          <w:lang w:eastAsia="zh-TW"/>
        </w:rPr>
        <w:t>第十五條</w:t>
      </w:r>
      <w:r>
        <w:rPr>
          <w:rFonts w:ascii="宋体" w:hAnsi="宋体" w:eastAsia="PMingLiU"/>
          <w:b/>
          <w:color w:val="000000"/>
          <w:sz w:val="24"/>
          <w:szCs w:val="24"/>
          <w:lang w:eastAsia="zh-TW"/>
        </w:rPr>
        <w:t xml:space="preserve">  </w:t>
      </w:r>
      <w:r>
        <w:rPr>
          <w:rFonts w:hint="eastAsia" w:ascii="宋体" w:hAnsi="宋体" w:eastAsia="PMingLiU"/>
          <w:sz w:val="24"/>
          <w:szCs w:val="24"/>
          <w:lang w:eastAsia="zh-TW"/>
        </w:rPr>
        <w:t>提名委員會會議原則上應于會議召開前三日發出會議通知。如情况緊急，需儘快召開會議的，經全體委員一致同意，可豁免前述通知期限要求。會議通知應附內容完整的議案。</w:t>
      </w:r>
    </w:p>
    <w:p>
      <w:pPr>
        <w:spacing w:before="156" w:beforeLines="50" w:line="520" w:lineRule="exact"/>
        <w:ind w:firstLine="480" w:firstLineChars="200"/>
        <w:jc w:val="left"/>
        <w:rPr>
          <w:rFonts w:hint="eastAsia" w:ascii="宋体" w:hAnsi="宋体"/>
          <w:sz w:val="24"/>
          <w:szCs w:val="24"/>
        </w:rPr>
      </w:pPr>
      <w:r>
        <w:rPr>
          <w:rFonts w:hint="eastAsia" w:ascii="宋体" w:hAnsi="宋体" w:eastAsia="PMingLiU"/>
          <w:b/>
          <w:color w:val="000000"/>
          <w:sz w:val="24"/>
          <w:szCs w:val="24"/>
          <w:lang w:eastAsia="zh-TW"/>
        </w:rPr>
        <w:t>第十六條</w:t>
      </w:r>
      <w:r>
        <w:rPr>
          <w:rFonts w:ascii="宋体" w:hAnsi="宋体" w:eastAsia="PMingLiU"/>
          <w:b/>
          <w:color w:val="000000"/>
          <w:sz w:val="24"/>
          <w:szCs w:val="24"/>
          <w:lang w:eastAsia="zh-TW"/>
        </w:rPr>
        <w:t xml:space="preserve">  </w:t>
      </w:r>
      <w:r>
        <w:rPr>
          <w:rFonts w:hint="eastAsia" w:ascii="宋体" w:hAnsi="宋体" w:eastAsia="PMingLiU"/>
          <w:spacing w:val="8"/>
          <w:sz w:val="24"/>
          <w:szCs w:val="24"/>
          <w:lang w:eastAsia="zh-TW"/>
        </w:rPr>
        <w:t>委員原則上應當親自出席會議，因故不能親自出席會議的，應當事先審閱會議材料，形成明確的意見，幷書面委托其他委員代爲出席。</w:t>
      </w:r>
      <w:r>
        <w:rPr>
          <w:rFonts w:hint="eastAsia" w:ascii="宋体" w:hAnsi="宋体" w:eastAsia="PMingLiU"/>
          <w:sz w:val="24"/>
          <w:szCs w:val="24"/>
          <w:lang w:eastAsia="zh-TW"/>
        </w:rPr>
        <w:t>每一名委員有一票的表决權。</w:t>
      </w:r>
    </w:p>
    <w:p>
      <w:pPr>
        <w:spacing w:before="156" w:beforeLines="50" w:line="520" w:lineRule="exact"/>
        <w:ind w:firstLine="480" w:firstLineChars="200"/>
        <w:jc w:val="left"/>
        <w:rPr>
          <w:rFonts w:hint="eastAsia" w:ascii="宋体" w:hAnsi="宋体"/>
          <w:sz w:val="24"/>
          <w:szCs w:val="24"/>
        </w:rPr>
      </w:pPr>
      <w:r>
        <w:rPr>
          <w:rFonts w:hint="eastAsia" w:ascii="宋体" w:hAnsi="宋体" w:eastAsia="PMingLiU"/>
          <w:b/>
          <w:color w:val="000000"/>
          <w:sz w:val="24"/>
          <w:szCs w:val="24"/>
          <w:lang w:eastAsia="zh-TW"/>
        </w:rPr>
        <w:t>第十七條</w:t>
      </w:r>
      <w:r>
        <w:rPr>
          <w:rFonts w:ascii="宋体" w:hAnsi="宋体" w:eastAsia="PMingLiU"/>
          <w:b/>
          <w:color w:val="000000"/>
          <w:sz w:val="24"/>
          <w:szCs w:val="24"/>
          <w:lang w:eastAsia="zh-TW"/>
        </w:rPr>
        <w:t xml:space="preserve">  </w:t>
      </w:r>
      <w:r>
        <w:rPr>
          <w:rFonts w:hint="eastAsia" w:ascii="宋体" w:hAnsi="宋体" w:eastAsia="PMingLiU"/>
          <w:sz w:val="24"/>
          <w:szCs w:val="24"/>
          <w:lang w:eastAsia="zh-TW"/>
        </w:rPr>
        <w:t>會議由主任委員主持，主任委員不能出席時應委托另一名獨立非執行董事委員主持會議。</w:t>
      </w:r>
      <w:r>
        <w:rPr>
          <w:rFonts w:hint="eastAsia" w:ascii="宋体" w:hAnsi="宋体"/>
          <w:sz w:val="24"/>
          <w:szCs w:val="24"/>
        </w:rPr>
        <w:t xml:space="preserve"> </w:t>
      </w:r>
    </w:p>
    <w:p>
      <w:pPr>
        <w:spacing w:before="156" w:beforeLines="50" w:line="520" w:lineRule="exact"/>
        <w:ind w:firstLine="480" w:firstLineChars="200"/>
        <w:jc w:val="left"/>
        <w:rPr>
          <w:rFonts w:hint="eastAsia" w:ascii="宋体" w:hAnsi="宋体"/>
          <w:sz w:val="24"/>
          <w:szCs w:val="24"/>
        </w:rPr>
      </w:pPr>
      <w:r>
        <w:rPr>
          <w:rFonts w:hint="eastAsia" w:ascii="宋体" w:hAnsi="宋体" w:eastAsia="PMingLiU"/>
          <w:b/>
          <w:color w:val="000000"/>
          <w:sz w:val="24"/>
          <w:szCs w:val="24"/>
          <w:lang w:eastAsia="zh-TW"/>
        </w:rPr>
        <w:t>第十八條</w:t>
      </w:r>
      <w:r>
        <w:rPr>
          <w:rFonts w:ascii="宋体" w:hAnsi="宋体" w:eastAsia="PMingLiU"/>
          <w:b/>
          <w:color w:val="000000"/>
          <w:sz w:val="24"/>
          <w:szCs w:val="24"/>
          <w:lang w:eastAsia="zh-TW"/>
        </w:rPr>
        <w:t xml:space="preserve">  </w:t>
      </w:r>
      <w:r>
        <w:rPr>
          <w:rFonts w:hint="eastAsia" w:ascii="宋体" w:hAnsi="宋体" w:eastAsia="PMingLiU"/>
          <w:sz w:val="24"/>
          <w:szCs w:val="24"/>
          <w:lang w:eastAsia="zh-TW"/>
        </w:rPr>
        <w:t>會議作出的决議，必須經兩名或兩名以上的委員通過方爲有效。</w:t>
      </w:r>
      <w:r>
        <w:rPr>
          <w:rFonts w:hint="eastAsia" w:ascii="宋体" w:hAnsi="宋体"/>
          <w:sz w:val="24"/>
          <w:szCs w:val="24"/>
        </w:rPr>
        <w:t xml:space="preserve"> </w:t>
      </w:r>
    </w:p>
    <w:p>
      <w:pPr>
        <w:spacing w:before="156" w:beforeLines="50" w:line="520" w:lineRule="exact"/>
        <w:ind w:firstLine="480" w:firstLineChars="200"/>
        <w:jc w:val="left"/>
        <w:rPr>
          <w:rFonts w:hint="eastAsia" w:ascii="宋体" w:hAnsi="宋体"/>
          <w:sz w:val="24"/>
          <w:szCs w:val="24"/>
        </w:rPr>
      </w:pPr>
      <w:r>
        <w:rPr>
          <w:rFonts w:hint="eastAsia" w:ascii="宋体" w:hAnsi="宋体" w:eastAsia="PMingLiU"/>
          <w:b/>
          <w:color w:val="000000"/>
          <w:sz w:val="24"/>
          <w:szCs w:val="24"/>
          <w:lang w:eastAsia="zh-TW"/>
        </w:rPr>
        <w:t>第十九條</w:t>
      </w:r>
      <w:r>
        <w:rPr>
          <w:rFonts w:ascii="宋体" w:hAnsi="宋体" w:eastAsia="PMingLiU"/>
          <w:sz w:val="24"/>
          <w:szCs w:val="24"/>
          <w:lang w:eastAsia="zh-TW"/>
        </w:rPr>
        <w:t xml:space="preserve">  </w:t>
      </w:r>
      <w:r>
        <w:rPr>
          <w:rFonts w:hint="eastAsia" w:ascii="宋体" w:hAnsi="宋体" w:eastAsia="PMingLiU"/>
          <w:sz w:val="24"/>
          <w:szCs w:val="24"/>
          <w:lang w:eastAsia="zh-TW"/>
        </w:rPr>
        <w:t>提名委員會會議必要時可邀請本公司董事、監事及其他高級管理人員列席會議。</w:t>
      </w:r>
      <w:r>
        <w:rPr>
          <w:rFonts w:hint="eastAsia" w:ascii="宋体" w:hAnsi="宋体"/>
          <w:sz w:val="24"/>
          <w:szCs w:val="24"/>
        </w:rPr>
        <w:t xml:space="preserve"> </w:t>
      </w:r>
    </w:p>
    <w:p>
      <w:pPr>
        <w:spacing w:before="156" w:beforeLines="50" w:line="520" w:lineRule="exact"/>
        <w:ind w:firstLine="480" w:firstLineChars="200"/>
        <w:jc w:val="left"/>
        <w:rPr>
          <w:rFonts w:hint="eastAsia" w:ascii="宋体" w:hAnsi="宋体"/>
          <w:sz w:val="24"/>
          <w:szCs w:val="24"/>
        </w:rPr>
      </w:pPr>
      <w:r>
        <w:rPr>
          <w:rFonts w:hint="eastAsia" w:ascii="宋体" w:hAnsi="宋体" w:eastAsia="PMingLiU"/>
          <w:b/>
          <w:color w:val="000000"/>
          <w:sz w:val="24"/>
          <w:szCs w:val="24"/>
          <w:lang w:eastAsia="zh-TW"/>
        </w:rPr>
        <w:t>第二十條</w:t>
      </w:r>
      <w:r>
        <w:rPr>
          <w:rFonts w:ascii="宋体" w:hAnsi="宋体" w:eastAsia="PMingLiU"/>
          <w:sz w:val="24"/>
          <w:szCs w:val="24"/>
          <w:lang w:eastAsia="zh-TW"/>
        </w:rPr>
        <w:t xml:space="preserve">  </w:t>
      </w:r>
      <w:r>
        <w:rPr>
          <w:rFonts w:hint="eastAsia" w:ascii="宋体" w:hAnsi="宋体" w:eastAsia="PMingLiU"/>
          <w:sz w:val="24"/>
          <w:szCs w:val="24"/>
          <w:lang w:eastAsia="zh-TW"/>
        </w:rPr>
        <w:t>本公司向提名委員會提供充足的資源以履行其職責。如有必要，提名委員會可以聘請中介機構爲其决策提供獨立的專業意見，有關費用由本公司承擔。</w:t>
      </w:r>
      <w:r>
        <w:rPr>
          <w:rFonts w:hint="eastAsia" w:ascii="宋体" w:hAnsi="宋体"/>
          <w:sz w:val="24"/>
          <w:szCs w:val="24"/>
        </w:rPr>
        <w:t xml:space="preserve"> </w:t>
      </w:r>
    </w:p>
    <w:p>
      <w:pPr>
        <w:spacing w:before="156" w:beforeLines="50" w:line="520" w:lineRule="exact"/>
        <w:ind w:firstLine="480" w:firstLineChars="200"/>
        <w:jc w:val="left"/>
        <w:rPr>
          <w:rFonts w:hint="eastAsia" w:ascii="宋体" w:hAnsi="宋体"/>
          <w:sz w:val="24"/>
          <w:szCs w:val="24"/>
        </w:rPr>
      </w:pPr>
      <w:r>
        <w:rPr>
          <w:rFonts w:hint="eastAsia" w:ascii="宋体" w:hAnsi="宋体" w:eastAsia="PMingLiU"/>
          <w:b/>
          <w:color w:val="000000"/>
          <w:sz w:val="24"/>
          <w:szCs w:val="24"/>
          <w:lang w:eastAsia="zh-TW"/>
        </w:rPr>
        <w:t>第二十一條</w:t>
      </w:r>
      <w:r>
        <w:rPr>
          <w:rFonts w:ascii="宋体" w:hAnsi="宋体" w:eastAsia="PMingLiU"/>
          <w:sz w:val="24"/>
          <w:szCs w:val="24"/>
          <w:lang w:eastAsia="zh-TW"/>
        </w:rPr>
        <w:t xml:space="preserve">  </w:t>
      </w:r>
      <w:r>
        <w:rPr>
          <w:rFonts w:hint="eastAsia" w:ascii="宋体" w:hAnsi="宋体" w:eastAsia="PMingLiU"/>
          <w:sz w:val="24"/>
          <w:szCs w:val="24"/>
          <w:lang w:eastAsia="zh-TW"/>
        </w:rPr>
        <w:t>提名委員會會議的召開程序、表决方式和會議通過的議案必須遵循有關法律、法規、上市規則、本公司章程及本實施細則的規定。</w:t>
      </w:r>
      <w:r>
        <w:rPr>
          <w:rFonts w:hint="eastAsia" w:ascii="宋体" w:hAnsi="宋体"/>
          <w:sz w:val="24"/>
          <w:szCs w:val="24"/>
        </w:rPr>
        <w:t xml:space="preserve"> </w:t>
      </w:r>
    </w:p>
    <w:p>
      <w:pPr>
        <w:spacing w:before="156" w:beforeLines="50" w:line="520" w:lineRule="exact"/>
        <w:ind w:firstLine="480" w:firstLineChars="200"/>
        <w:jc w:val="left"/>
        <w:rPr>
          <w:rFonts w:hint="eastAsia" w:ascii="宋体" w:hAnsi="宋体"/>
          <w:sz w:val="24"/>
          <w:szCs w:val="24"/>
        </w:rPr>
      </w:pPr>
      <w:r>
        <w:rPr>
          <w:rFonts w:hint="eastAsia" w:ascii="宋体" w:hAnsi="宋体" w:eastAsia="PMingLiU"/>
          <w:b/>
          <w:color w:val="000000"/>
          <w:sz w:val="24"/>
          <w:szCs w:val="24"/>
          <w:lang w:eastAsia="zh-TW"/>
        </w:rPr>
        <w:t>第二十二條</w:t>
      </w:r>
      <w:r>
        <w:rPr>
          <w:rFonts w:ascii="宋体" w:hAnsi="宋体" w:eastAsia="PMingLiU"/>
          <w:sz w:val="24"/>
          <w:szCs w:val="24"/>
          <w:lang w:eastAsia="zh-TW"/>
        </w:rPr>
        <w:t xml:space="preserve">  </w:t>
      </w:r>
      <w:r>
        <w:rPr>
          <w:rFonts w:hint="eastAsia" w:ascii="宋体" w:hAnsi="宋体" w:eastAsia="PMingLiU"/>
          <w:sz w:val="24"/>
          <w:szCs w:val="24"/>
          <w:lang w:eastAsia="zh-TW"/>
        </w:rPr>
        <w:t>提名委員會會議應當有記錄，會議記錄應當真實、準確、完整，充分反映與會人員對所審議事項提出的意見。出席會議的委員應當在會議記錄上簽名。</w:t>
      </w:r>
      <w:r>
        <w:rPr>
          <w:rFonts w:hint="eastAsia" w:ascii="宋体" w:hAnsi="宋体"/>
          <w:sz w:val="24"/>
          <w:szCs w:val="24"/>
        </w:rPr>
        <w:t xml:space="preserve"> </w:t>
      </w:r>
    </w:p>
    <w:p>
      <w:pPr>
        <w:spacing w:before="156" w:beforeLines="50" w:line="520" w:lineRule="exact"/>
        <w:ind w:firstLine="480" w:firstLineChars="200"/>
        <w:jc w:val="left"/>
        <w:rPr>
          <w:rFonts w:hint="eastAsia" w:ascii="宋体" w:hAnsi="宋体"/>
          <w:sz w:val="24"/>
          <w:szCs w:val="24"/>
        </w:rPr>
      </w:pPr>
      <w:r>
        <w:rPr>
          <w:rFonts w:hint="eastAsia" w:ascii="宋体" w:hAnsi="宋体" w:eastAsia="PMingLiU"/>
          <w:b/>
          <w:color w:val="000000"/>
          <w:sz w:val="24"/>
          <w:szCs w:val="24"/>
          <w:lang w:eastAsia="zh-TW"/>
        </w:rPr>
        <w:t>第二十三條</w:t>
      </w:r>
      <w:r>
        <w:rPr>
          <w:rFonts w:ascii="宋体" w:hAnsi="宋体" w:eastAsia="PMingLiU"/>
          <w:sz w:val="24"/>
          <w:szCs w:val="24"/>
          <w:lang w:eastAsia="zh-TW"/>
        </w:rPr>
        <w:t xml:space="preserve">  </w:t>
      </w:r>
      <w:r>
        <w:rPr>
          <w:rFonts w:hint="eastAsia" w:ascii="宋体" w:hAnsi="宋体" w:eastAsia="PMingLiU"/>
          <w:sz w:val="24"/>
          <w:szCs w:val="24"/>
          <w:lang w:eastAsia="zh-TW"/>
        </w:rPr>
        <w:t>提名委員會會議通過的議案及表决結果，應以書面形式報本公司董事會。</w:t>
      </w:r>
      <w:r>
        <w:rPr>
          <w:rFonts w:hint="eastAsia" w:ascii="宋体" w:hAnsi="宋体"/>
          <w:sz w:val="24"/>
          <w:szCs w:val="24"/>
        </w:rPr>
        <w:t xml:space="preserve"> </w:t>
      </w:r>
    </w:p>
    <w:p>
      <w:pPr>
        <w:spacing w:before="156" w:beforeLines="50" w:line="520" w:lineRule="exact"/>
        <w:ind w:firstLine="480" w:firstLineChars="200"/>
        <w:jc w:val="left"/>
        <w:rPr>
          <w:rFonts w:hint="eastAsia" w:ascii="宋体" w:hAnsi="宋体"/>
          <w:sz w:val="24"/>
          <w:szCs w:val="24"/>
        </w:rPr>
      </w:pPr>
      <w:r>
        <w:rPr>
          <w:rFonts w:hint="eastAsia" w:ascii="宋体" w:hAnsi="宋体" w:eastAsia="PMingLiU"/>
          <w:b/>
          <w:color w:val="000000"/>
          <w:sz w:val="24"/>
          <w:szCs w:val="24"/>
          <w:lang w:eastAsia="zh-TW"/>
        </w:rPr>
        <w:t>第二十四條</w:t>
      </w:r>
      <w:r>
        <w:rPr>
          <w:rFonts w:ascii="宋体" w:hAnsi="宋体" w:eastAsia="PMingLiU"/>
          <w:sz w:val="24"/>
          <w:szCs w:val="24"/>
          <w:lang w:eastAsia="zh-TW"/>
        </w:rPr>
        <w:t xml:space="preserve">  </w:t>
      </w:r>
      <w:r>
        <w:rPr>
          <w:rFonts w:hint="eastAsia" w:ascii="宋体" w:hAnsi="宋体" w:eastAsia="PMingLiU"/>
          <w:sz w:val="24"/>
          <w:szCs w:val="24"/>
          <w:lang w:eastAsia="zh-TW"/>
        </w:rPr>
        <w:t>出席會議的委員均對會議所議事項有保密義務，不得擅自披露有關信息。</w:t>
      </w:r>
      <w:r>
        <w:rPr>
          <w:rFonts w:hint="eastAsia" w:ascii="宋体" w:hAnsi="宋体"/>
          <w:sz w:val="24"/>
          <w:szCs w:val="24"/>
        </w:rPr>
        <w:t xml:space="preserve"> </w:t>
      </w:r>
    </w:p>
    <w:p>
      <w:pPr>
        <w:spacing w:before="156" w:beforeLines="50" w:line="520" w:lineRule="exact"/>
        <w:ind w:firstLine="480" w:firstLineChars="200"/>
        <w:jc w:val="left"/>
        <w:rPr>
          <w:rFonts w:hint="eastAsia" w:ascii="宋体" w:hAnsi="宋体"/>
          <w:sz w:val="24"/>
          <w:szCs w:val="24"/>
        </w:rPr>
      </w:pPr>
      <w:r>
        <w:rPr>
          <w:rFonts w:hint="eastAsia" w:ascii="宋体" w:hAnsi="宋体" w:eastAsia="PMingLiU"/>
          <w:b/>
          <w:sz w:val="24"/>
          <w:szCs w:val="24"/>
          <w:lang w:eastAsia="zh-TW"/>
        </w:rPr>
        <w:t>第二十五條</w:t>
      </w:r>
      <w:r>
        <w:rPr>
          <w:rFonts w:ascii="宋体" w:hAnsi="宋体" w:eastAsia="PMingLiU"/>
          <w:sz w:val="24"/>
          <w:szCs w:val="24"/>
          <w:lang w:eastAsia="zh-TW"/>
        </w:rPr>
        <w:t xml:space="preserve">  </w:t>
      </w:r>
      <w:r>
        <w:rPr>
          <w:rFonts w:hint="eastAsia" w:ascii="宋体" w:hAnsi="宋体" w:eastAsia="PMingLiU"/>
          <w:sz w:val="24"/>
          <w:szCs w:val="24"/>
          <w:lang w:eastAsia="zh-TW"/>
        </w:rPr>
        <w:t>提名委員會會議檔案</w:t>
      </w:r>
      <w:r>
        <w:rPr>
          <w:rFonts w:ascii="宋体" w:hAnsi="宋体" w:eastAsia="PMingLiU"/>
          <w:sz w:val="24"/>
          <w:szCs w:val="24"/>
          <w:lang w:eastAsia="zh-TW"/>
        </w:rPr>
        <w:t>,</w:t>
      </w:r>
      <w:r>
        <w:rPr>
          <w:rFonts w:hint="eastAsia" w:ascii="宋体" w:hAnsi="宋体" w:eastAsia="PMingLiU"/>
          <w:sz w:val="24"/>
          <w:szCs w:val="24"/>
          <w:lang w:eastAsia="zh-TW"/>
        </w:rPr>
        <w:t>包括會議通知和會議材料、委員代爲出席的授權委托書、表决票、經與會委員簽字確認的會議决議、會議記錄等，應至少保存十年。</w:t>
      </w:r>
    </w:p>
    <w:p>
      <w:pPr>
        <w:autoSpaceDE w:val="0"/>
        <w:autoSpaceDN w:val="0"/>
        <w:spacing w:before="312" w:beforeLines="100"/>
        <w:jc w:val="center"/>
        <w:rPr>
          <w:rFonts w:hint="eastAsia" w:ascii="宋体" w:hAnsi="宋体"/>
          <w:b/>
          <w:bCs/>
          <w:color w:val="000000"/>
          <w:sz w:val="28"/>
          <w:szCs w:val="28"/>
        </w:rPr>
      </w:pPr>
      <w:r>
        <w:rPr>
          <w:rFonts w:hint="eastAsia" w:ascii="宋体" w:hAnsi="宋体" w:eastAsia="PMingLiU"/>
          <w:b/>
          <w:bCs/>
          <w:color w:val="000000"/>
          <w:sz w:val="28"/>
          <w:szCs w:val="28"/>
          <w:lang w:eastAsia="zh-TW"/>
        </w:rPr>
        <w:t>第五章</w:t>
      </w:r>
      <w:r>
        <w:rPr>
          <w:rFonts w:ascii="宋体" w:hAnsi="宋体" w:eastAsia="PMingLiU"/>
          <w:b/>
          <w:bCs/>
          <w:color w:val="000000"/>
          <w:sz w:val="28"/>
          <w:szCs w:val="28"/>
          <w:lang w:eastAsia="zh-TW"/>
        </w:rPr>
        <w:t xml:space="preserve"> </w:t>
      </w:r>
      <w:r>
        <w:rPr>
          <w:rFonts w:hint="eastAsia" w:ascii="宋体" w:hAnsi="宋体" w:eastAsia="PMingLiU"/>
          <w:b/>
          <w:bCs/>
          <w:color w:val="000000"/>
          <w:sz w:val="28"/>
          <w:szCs w:val="28"/>
          <w:lang w:eastAsia="zh-TW"/>
        </w:rPr>
        <w:t>附則</w:t>
      </w:r>
    </w:p>
    <w:p>
      <w:pPr>
        <w:spacing w:before="156" w:beforeLines="50" w:line="520" w:lineRule="exact"/>
        <w:ind w:firstLine="480" w:firstLineChars="200"/>
        <w:jc w:val="left"/>
        <w:rPr>
          <w:rFonts w:hint="eastAsia" w:ascii="宋体" w:hAnsi="宋体"/>
          <w:sz w:val="24"/>
          <w:szCs w:val="24"/>
        </w:rPr>
      </w:pPr>
      <w:r>
        <w:rPr>
          <w:rFonts w:hint="eastAsia" w:ascii="宋体" w:hAnsi="宋体" w:eastAsia="PMingLiU"/>
          <w:b/>
          <w:color w:val="000000"/>
          <w:sz w:val="24"/>
          <w:szCs w:val="24"/>
          <w:lang w:eastAsia="zh-TW"/>
        </w:rPr>
        <w:t>第二十六條</w:t>
      </w:r>
      <w:r>
        <w:rPr>
          <w:rFonts w:ascii="宋体" w:hAnsi="宋体" w:eastAsia="PMingLiU"/>
          <w:sz w:val="24"/>
          <w:szCs w:val="24"/>
          <w:lang w:eastAsia="zh-TW"/>
        </w:rPr>
        <w:t xml:space="preserve">  </w:t>
      </w:r>
      <w:r>
        <w:rPr>
          <w:rFonts w:hint="eastAsia" w:ascii="宋体" w:hAnsi="宋体" w:eastAsia="PMingLiU"/>
          <w:sz w:val="24"/>
          <w:szCs w:val="24"/>
          <w:lang w:eastAsia="zh-TW"/>
        </w:rPr>
        <w:t>本實施細則未盡事宜，按國家有關法律、法規和公司章程以及公司股票上市所在地證券交易所各自上市規則的有關規定執行。</w:t>
      </w:r>
      <w:r>
        <w:rPr>
          <w:rFonts w:hint="eastAsia" w:ascii="宋体" w:hAnsi="宋体"/>
          <w:sz w:val="24"/>
          <w:szCs w:val="24"/>
        </w:rPr>
        <w:t xml:space="preserve"> </w:t>
      </w:r>
    </w:p>
    <w:p>
      <w:pPr>
        <w:spacing w:before="156" w:beforeLines="50" w:line="520" w:lineRule="exact"/>
        <w:ind w:firstLine="480" w:firstLineChars="200"/>
        <w:jc w:val="left"/>
        <w:rPr>
          <w:rFonts w:hint="eastAsia" w:ascii="宋体" w:hAnsi="宋体"/>
          <w:sz w:val="24"/>
          <w:szCs w:val="24"/>
        </w:rPr>
      </w:pPr>
      <w:r>
        <w:rPr>
          <w:rFonts w:hint="eastAsia" w:ascii="宋体" w:hAnsi="宋体" w:eastAsia="PMingLiU"/>
          <w:b/>
          <w:color w:val="000000"/>
          <w:sz w:val="24"/>
          <w:szCs w:val="24"/>
          <w:lang w:eastAsia="zh-TW"/>
        </w:rPr>
        <w:t>第二十七條</w:t>
      </w:r>
      <w:r>
        <w:rPr>
          <w:rFonts w:ascii="宋体" w:hAnsi="宋体" w:eastAsia="PMingLiU"/>
          <w:sz w:val="24"/>
          <w:szCs w:val="24"/>
          <w:lang w:eastAsia="zh-TW"/>
        </w:rPr>
        <w:t xml:space="preserve">  </w:t>
      </w:r>
      <w:r>
        <w:rPr>
          <w:rFonts w:hint="eastAsia" w:ascii="宋体" w:hAnsi="宋体" w:eastAsia="PMingLiU"/>
          <w:sz w:val="24"/>
          <w:szCs w:val="24"/>
          <w:lang w:eastAsia="zh-TW"/>
        </w:rPr>
        <w:t>本實施細則與國家有關法律、法規相悖的，按國家有關法律、法規執行。</w:t>
      </w:r>
      <w:r>
        <w:rPr>
          <w:rFonts w:hint="eastAsia" w:ascii="宋体" w:hAnsi="宋体"/>
          <w:sz w:val="24"/>
          <w:szCs w:val="24"/>
        </w:rPr>
        <w:t xml:space="preserve"> </w:t>
      </w:r>
    </w:p>
    <w:p>
      <w:pPr>
        <w:spacing w:before="156" w:beforeLines="50" w:line="520" w:lineRule="exact"/>
        <w:ind w:firstLine="480" w:firstLineChars="200"/>
        <w:jc w:val="left"/>
        <w:rPr>
          <w:rFonts w:hint="eastAsia" w:ascii="宋体" w:hAnsi="宋体"/>
          <w:sz w:val="24"/>
          <w:szCs w:val="24"/>
        </w:rPr>
      </w:pPr>
      <w:r>
        <w:rPr>
          <w:rFonts w:hint="eastAsia" w:ascii="宋体" w:hAnsi="宋体" w:eastAsia="PMingLiU"/>
          <w:b/>
          <w:color w:val="000000"/>
          <w:sz w:val="24"/>
          <w:szCs w:val="24"/>
          <w:lang w:eastAsia="zh-TW"/>
        </w:rPr>
        <w:t>第二十八條</w:t>
      </w:r>
      <w:r>
        <w:rPr>
          <w:rFonts w:ascii="宋体" w:hAnsi="宋体" w:eastAsia="PMingLiU"/>
          <w:sz w:val="24"/>
          <w:szCs w:val="24"/>
          <w:lang w:eastAsia="zh-TW"/>
        </w:rPr>
        <w:t xml:space="preserve">  </w:t>
      </w:r>
      <w:r>
        <w:rPr>
          <w:rFonts w:hint="eastAsia" w:ascii="宋体" w:hAnsi="宋体" w:eastAsia="PMingLiU"/>
          <w:sz w:val="24"/>
          <w:szCs w:val="24"/>
          <w:lang w:eastAsia="zh-TW"/>
        </w:rPr>
        <w:t>本實施細則經董事會審議通過後生效，幷由董事會負責修訂、解釋。</w:t>
      </w:r>
      <w:r>
        <w:rPr>
          <w:rFonts w:hint="eastAsia" w:ascii="宋体" w:hAnsi="宋体"/>
          <w:sz w:val="24"/>
          <w:szCs w:val="24"/>
        </w:rPr>
        <w:t xml:space="preserve"> </w:t>
      </w:r>
    </w:p>
    <w:p>
      <w:pPr>
        <w:spacing w:before="156" w:beforeLines="50" w:line="520" w:lineRule="exact"/>
        <w:jc w:val="center"/>
        <w:rPr>
          <w:rFonts w:hint="eastAsia" w:ascii="宋体" w:hAnsi="宋体"/>
          <w:b/>
          <w:sz w:val="36"/>
          <w:szCs w:val="36"/>
        </w:rPr>
      </w:pPr>
    </w:p>
    <w:p>
      <w:pPr>
        <w:spacing w:before="156" w:beforeLines="50" w:line="520" w:lineRule="exact"/>
        <w:jc w:val="left"/>
        <w:rPr>
          <w:rFonts w:ascii="宋体" w:hAnsi="宋体"/>
          <w:b/>
          <w:sz w:val="24"/>
          <w:szCs w:val="24"/>
        </w:rPr>
      </w:pPr>
    </w:p>
    <w:sectPr>
      <w:footerReference r:id="rId3" w:type="default"/>
      <w:pgSz w:w="11906" w:h="16838"/>
      <w:pgMar w:top="1440" w:right="1797"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PMingLiU">
    <w:altName w:val="Microsoft JhengHei UI"/>
    <w:panose1 w:val="02010601000101010101"/>
    <w:charset w:val="88"/>
    <w:family w:val="auto"/>
    <w:pitch w:val="default"/>
    <w:sig w:usb0="00000000" w:usb1="08080000" w:usb2="00000010" w:usb3="00000000" w:csb0="00100000" w:csb1="00000000"/>
  </w:font>
  <w:font w:name="Arial Unicode MS">
    <w:panose1 w:val="020B0604020202020204"/>
    <w:charset w:val="86"/>
    <w:family w:val="auto"/>
    <w:pitch w:val="default"/>
    <w:sig w:usb0="FFFFFFFF" w:usb1="E9FFFFFF" w:usb2="0000003F" w:usb3="00000000" w:csb0="603F01FF" w:csb1="FFFF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rFonts w:eastAsia="PMingLiU"/>
        <w:lang w:val="zh-CN" w:eastAsia="zh-TW"/>
      </w:rPr>
      <w:t>5</w: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wNTZlNTk5ZTUxMjI2YmYzOGFjYWNiMzEwZmZiYzUifQ=="/>
  </w:docVars>
  <w:rsids>
    <w:rsidRoot w:val="00172A27"/>
    <w:rsid w:val="000866AE"/>
    <w:rsid w:val="00171714"/>
    <w:rsid w:val="002F2D2D"/>
    <w:rsid w:val="003556F8"/>
    <w:rsid w:val="003857EA"/>
    <w:rsid w:val="003C6F58"/>
    <w:rsid w:val="00452B67"/>
    <w:rsid w:val="004F0202"/>
    <w:rsid w:val="005049B9"/>
    <w:rsid w:val="00506E53"/>
    <w:rsid w:val="005673F1"/>
    <w:rsid w:val="0057396C"/>
    <w:rsid w:val="005821E0"/>
    <w:rsid w:val="005A1C0F"/>
    <w:rsid w:val="007A528B"/>
    <w:rsid w:val="00861B2B"/>
    <w:rsid w:val="00892E49"/>
    <w:rsid w:val="00896EC3"/>
    <w:rsid w:val="009560C2"/>
    <w:rsid w:val="00996F2A"/>
    <w:rsid w:val="00A45E4F"/>
    <w:rsid w:val="00A63CAE"/>
    <w:rsid w:val="00AE3D9A"/>
    <w:rsid w:val="00B44359"/>
    <w:rsid w:val="00B5207C"/>
    <w:rsid w:val="00CF7507"/>
    <w:rsid w:val="00CF7816"/>
    <w:rsid w:val="00D05F20"/>
    <w:rsid w:val="00D45DD2"/>
    <w:rsid w:val="00F0686C"/>
    <w:rsid w:val="00F92857"/>
    <w:rsid w:val="02122EC5"/>
    <w:rsid w:val="0226483D"/>
    <w:rsid w:val="048B38CE"/>
    <w:rsid w:val="21B26285"/>
    <w:rsid w:val="27015705"/>
    <w:rsid w:val="286C3C9F"/>
    <w:rsid w:val="28C51D67"/>
    <w:rsid w:val="29A072F6"/>
    <w:rsid w:val="2B9308D2"/>
    <w:rsid w:val="2FE86A5E"/>
    <w:rsid w:val="353B3905"/>
    <w:rsid w:val="3BEC799C"/>
    <w:rsid w:val="3DD73D51"/>
    <w:rsid w:val="3DEA19BC"/>
    <w:rsid w:val="43DD3264"/>
    <w:rsid w:val="445777FC"/>
    <w:rsid w:val="458C6AFC"/>
    <w:rsid w:val="4BD92709"/>
    <w:rsid w:val="4DAE0980"/>
    <w:rsid w:val="53976D3B"/>
    <w:rsid w:val="5AA164B9"/>
    <w:rsid w:val="60B303F7"/>
    <w:rsid w:val="61715BB8"/>
    <w:rsid w:val="71F14A1B"/>
    <w:rsid w:val="73306E3E"/>
    <w:rsid w:val="73F42DC7"/>
    <w:rsid w:val="79F9382D"/>
    <w:rsid w:val="7A4660A9"/>
    <w:rsid w:val="7B791136"/>
    <w:rsid w:val="7C847734"/>
    <w:rsid w:val="7DB23CE1"/>
    <w:rsid w:val="7E082C6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2"/>
    <w:basedOn w:val="1"/>
    <w:next w:val="1"/>
    <w:qFormat/>
    <w:uiPriority w:val="0"/>
    <w:pPr>
      <w:keepNext/>
      <w:keepLines/>
      <w:spacing w:before="260" w:beforeLines="0" w:after="260" w:afterLines="0" w:line="416" w:lineRule="auto"/>
      <w:jc w:val="center"/>
      <w:outlineLvl w:val="1"/>
    </w:pPr>
    <w:rPr>
      <w:rFonts w:ascii="Cambria" w:hAnsi="Cambria" w:eastAsia="仿宋_GB2312" w:cs="Times New Roman"/>
      <w:b/>
      <w:bCs/>
      <w:kern w:val="2"/>
      <w:sz w:val="32"/>
      <w:szCs w:val="32"/>
    </w:rPr>
  </w:style>
  <w:style w:type="paragraph" w:styleId="3">
    <w:name w:val="heading 3"/>
    <w:basedOn w:val="1"/>
    <w:next w:val="1"/>
    <w:qFormat/>
    <w:uiPriority w:val="9"/>
    <w:pPr>
      <w:spacing w:before="100" w:beforeAutospacing="1" w:after="100" w:afterAutospacing="1"/>
      <w:outlineLvl w:val="2"/>
    </w:pPr>
    <w:rPr>
      <w:b/>
      <w:bCs/>
      <w:sz w:val="28"/>
      <w:szCs w:val="28"/>
    </w:rPr>
  </w:style>
  <w:style w:type="character" w:default="1" w:styleId="11">
    <w:name w:val="Default Paragraph Font"/>
    <w:uiPriority w:val="0"/>
  </w:style>
  <w:style w:type="table" w:default="1" w:styleId="10">
    <w:name w:val="Normal Table"/>
    <w:unhideWhenUsed/>
    <w:uiPriority w:val="99"/>
    <w:tblPr>
      <w:tblStyle w:val="10"/>
      <w:tblCellMar>
        <w:top w:w="0" w:type="dxa"/>
        <w:left w:w="108" w:type="dxa"/>
        <w:bottom w:w="0" w:type="dxa"/>
        <w:right w:w="108" w:type="dxa"/>
      </w:tblCellMar>
    </w:tblPr>
  </w:style>
  <w:style w:type="paragraph" w:styleId="4">
    <w:name w:val="annotation text"/>
    <w:basedOn w:val="1"/>
    <w:link w:val="14"/>
    <w:uiPriority w:val="0"/>
    <w:pPr>
      <w:jc w:val="left"/>
    </w:pPr>
  </w:style>
  <w:style w:type="paragraph" w:styleId="5">
    <w:name w:val="Balloon Text"/>
    <w:basedOn w:val="1"/>
    <w:link w:val="15"/>
    <w:uiPriority w:val="0"/>
    <w:rPr>
      <w:kern w:val="0"/>
      <w:sz w:val="18"/>
      <w:szCs w:val="18"/>
    </w:rPr>
  </w:style>
  <w:style w:type="paragraph" w:styleId="6">
    <w:name w:val="footer"/>
    <w:basedOn w:val="1"/>
    <w:link w:val="16"/>
    <w:uiPriority w:val="99"/>
    <w:pPr>
      <w:tabs>
        <w:tab w:val="center" w:pos="4153"/>
        <w:tab w:val="right" w:pos="8306"/>
      </w:tabs>
      <w:snapToGrid w:val="0"/>
      <w:jc w:val="left"/>
    </w:pPr>
    <w:rPr>
      <w:kern w:val="0"/>
      <w:sz w:val="18"/>
      <w:szCs w:val="18"/>
    </w:rPr>
  </w:style>
  <w:style w:type="paragraph" w:styleId="7">
    <w:name w:val="header"/>
    <w:basedOn w:val="1"/>
    <w:link w:val="17"/>
    <w:uiPriority w:val="0"/>
    <w:pPr>
      <w:pBdr>
        <w:bottom w:val="single" w:color="auto" w:sz="6" w:space="1"/>
      </w:pBdr>
      <w:tabs>
        <w:tab w:val="center" w:pos="4153"/>
        <w:tab w:val="right" w:pos="8306"/>
      </w:tabs>
      <w:snapToGrid w:val="0"/>
      <w:jc w:val="center"/>
    </w:pPr>
    <w:rPr>
      <w:kern w:val="0"/>
      <w:sz w:val="18"/>
      <w:szCs w:val="18"/>
    </w:rPr>
  </w:style>
  <w:style w:type="paragraph" w:styleId="8">
    <w:name w:val="Normal (Web)"/>
    <w:basedOn w:val="1"/>
    <w:unhideWhenUsed/>
    <w:qFormat/>
    <w:uiPriority w:val="99"/>
    <w:pPr>
      <w:spacing w:before="100" w:beforeAutospacing="1" w:after="100" w:afterAutospacing="1"/>
      <w:ind w:firstLine="480"/>
    </w:pPr>
  </w:style>
  <w:style w:type="paragraph" w:styleId="9">
    <w:name w:val="annotation subject"/>
    <w:basedOn w:val="4"/>
    <w:next w:val="4"/>
    <w:link w:val="18"/>
    <w:uiPriority w:val="0"/>
    <w:rPr>
      <w:b/>
      <w:bCs/>
    </w:rPr>
  </w:style>
  <w:style w:type="character" w:styleId="12">
    <w:name w:val="page number"/>
    <w:uiPriority w:val="0"/>
  </w:style>
  <w:style w:type="character" w:styleId="13">
    <w:name w:val="annotation reference"/>
    <w:uiPriority w:val="0"/>
    <w:rPr>
      <w:sz w:val="21"/>
      <w:szCs w:val="21"/>
    </w:rPr>
  </w:style>
  <w:style w:type="character" w:customStyle="1" w:styleId="14">
    <w:name w:val="批注文字 Char"/>
    <w:link w:val="4"/>
    <w:uiPriority w:val="0"/>
    <w:rPr>
      <w:kern w:val="2"/>
      <w:sz w:val="21"/>
      <w:szCs w:val="22"/>
    </w:rPr>
  </w:style>
  <w:style w:type="character" w:customStyle="1" w:styleId="15">
    <w:name w:val="批注框文本 Char"/>
    <w:link w:val="5"/>
    <w:uiPriority w:val="0"/>
    <w:rPr>
      <w:sz w:val="18"/>
      <w:szCs w:val="18"/>
    </w:rPr>
  </w:style>
  <w:style w:type="character" w:customStyle="1" w:styleId="16">
    <w:name w:val="页脚 Char"/>
    <w:link w:val="6"/>
    <w:uiPriority w:val="99"/>
    <w:rPr>
      <w:sz w:val="18"/>
      <w:szCs w:val="18"/>
    </w:rPr>
  </w:style>
  <w:style w:type="character" w:customStyle="1" w:styleId="17">
    <w:name w:val="页眉 Char"/>
    <w:link w:val="7"/>
    <w:uiPriority w:val="0"/>
    <w:rPr>
      <w:sz w:val="18"/>
      <w:szCs w:val="18"/>
    </w:rPr>
  </w:style>
  <w:style w:type="character" w:customStyle="1" w:styleId="18">
    <w:name w:val="批注主题 Char"/>
    <w:link w:val="9"/>
    <w:uiPriority w:val="0"/>
    <w:rPr>
      <w:b/>
      <w:bCs/>
      <w:kern w:val="2"/>
      <w:sz w:val="21"/>
      <w:szCs w:val="22"/>
    </w:rPr>
  </w:style>
  <w:style w:type="paragraph" w:customStyle="1" w:styleId="19">
    <w:name w:val="content"/>
    <w:basedOn w:val="20"/>
    <w:next w:val="20"/>
    <w:uiPriority w:val="0"/>
    <w:rPr>
      <w:rFonts w:hint="default"/>
    </w:rPr>
  </w:style>
  <w:style w:type="paragraph" w:customStyle="1" w:styleId="20">
    <w:name w:val="Default"/>
    <w:uiPriority w:val="0"/>
    <w:pPr>
      <w:widowControl w:val="0"/>
      <w:autoSpaceDE w:val="0"/>
      <w:autoSpaceDN w:val="0"/>
    </w:pPr>
    <w:rPr>
      <w:rFonts w:hint="eastAsia" w:ascii="宋体" w:hAnsi="宋体"/>
      <w:color w:val="000000"/>
      <w:sz w:val="24"/>
      <w:lang w:val="en-US" w:eastAsia="zh-CN" w:bidi="ar-SA"/>
    </w:rPr>
  </w:style>
  <w:style w:type="paragraph" w:customStyle="1" w:styleId="21">
    <w:name w:val=" Char"/>
    <w:basedOn w:val="1"/>
    <w:uiPriority w:val="0"/>
    <w:pPr>
      <w:tabs>
        <w:tab w:val="left" w:pos="360"/>
      </w:tabs>
    </w:pPr>
    <w:rPr>
      <w:rFonts w:ascii="Times New Roman" w:hAnsi="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gsi.cn</Company>
  <Pages>5</Pages>
  <Words>401</Words>
  <Characters>2286</Characters>
  <Lines>19</Lines>
  <Paragraphs>5</Paragraphs>
  <TotalTime>0</TotalTime>
  <ScaleCrop>false</ScaleCrop>
  <LinksUpToDate>false</LinksUpToDate>
  <CharactersWithSpaces>2682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2024-04-13T09:59:00Z</dcterms:created>
  <dc:creator>李靖</dc:creator>
  <cp:lastModifiedBy>中船防务董办</cp:lastModifiedBy>
  <cp:lastPrinted>2024-04-23T10:45:00Z</cp:lastPrinted>
  <dcterms:modified xsi:type="dcterms:W3CDTF">2024-04-25T14:33:27Z</dcterms:modified>
  <dc:title>_x0001_</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E0F1AAA0A38E4EF38528AF8F6A829CB1_13</vt:lpwstr>
  </property>
</Properties>
</file>