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76DB" w14:textId="68140219" w:rsidR="00DA601F" w:rsidRDefault="00EB6BD0">
      <w:pPr>
        <w:spacing w:before="81" w:line="278" w:lineRule="auto"/>
        <w:ind w:left="113" w:right="114"/>
        <w:jc w:val="both"/>
        <w:rPr>
          <w:i/>
          <w:sz w:val="24"/>
          <w:lang w:val="en-US"/>
        </w:rPr>
      </w:pPr>
      <w:r w:rsidRPr="00F42143">
        <w:rPr>
          <w:rFonts w:ascii="新細明體" w:eastAsia="新細明體" w:hAnsi="新細明體" w:cs="新細明體" w:hint="eastAsia"/>
          <w:i/>
          <w:color w:val="231916"/>
          <w:spacing w:val="4"/>
          <w:sz w:val="24"/>
          <w:lang w:val="en-US"/>
        </w:rPr>
        <w:t>香港交易及結算所有限公司及香港聯合交易所有限公司對本公佈的內容概不負責，對其準確性或完整性亦不發表任何聲明，並明確表示概不就因本公佈全部或任何部分內容而產生或因倚賴該等內容而引致的任何損失承擔任何責任。</w:t>
      </w:r>
    </w:p>
    <w:p w14:paraId="115E76DC" w14:textId="77777777" w:rsidR="00DA601F" w:rsidRDefault="00DA601F">
      <w:pPr>
        <w:pStyle w:val="a3"/>
        <w:spacing w:before="2"/>
        <w:jc w:val="center"/>
        <w:rPr>
          <w:rFonts w:eastAsia="新細明體"/>
          <w:iCs/>
          <w:sz w:val="20"/>
          <w:lang w:val="en-US"/>
        </w:rPr>
      </w:pPr>
    </w:p>
    <w:p w14:paraId="115E76DD" w14:textId="77777777" w:rsidR="00DA601F" w:rsidRDefault="00974218">
      <w:pPr>
        <w:pStyle w:val="a3"/>
        <w:spacing w:before="2"/>
        <w:jc w:val="center"/>
        <w:rPr>
          <w:rFonts w:eastAsia="新細明體"/>
          <w:iCs/>
          <w:sz w:val="20"/>
          <w:lang w:val="en-US"/>
        </w:rPr>
      </w:pPr>
      <w:r>
        <w:rPr>
          <w:rFonts w:eastAsia="新細明體"/>
          <w:iCs/>
          <w:noProof/>
          <w:sz w:val="20"/>
          <w:lang w:val="en-US"/>
        </w:rPr>
        <w:drawing>
          <wp:inline distT="0" distB="0" distL="0" distR="0" wp14:anchorId="115E770A" wp14:editId="115E770B">
            <wp:extent cx="2606266" cy="1623201"/>
            <wp:effectExtent l="0" t="0" r="3810" b="0"/>
            <wp:docPr id="1026"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7" cstate="print"/>
                    <a:srcRect/>
                    <a:stretch/>
                  </pic:blipFill>
                  <pic:spPr>
                    <a:xfrm>
                      <a:off x="0" y="0"/>
                      <a:ext cx="2606266" cy="1623201"/>
                    </a:xfrm>
                    <a:prstGeom prst="rect">
                      <a:avLst/>
                    </a:prstGeom>
                  </pic:spPr>
                </pic:pic>
              </a:graphicData>
            </a:graphic>
          </wp:inline>
        </w:drawing>
      </w:r>
    </w:p>
    <w:p w14:paraId="115E76DE" w14:textId="77777777" w:rsidR="00DA601F" w:rsidRDefault="00DA601F">
      <w:pPr>
        <w:pStyle w:val="a3"/>
        <w:spacing w:before="7"/>
        <w:rPr>
          <w:i/>
          <w:sz w:val="5"/>
          <w:lang w:val="en-US"/>
        </w:rPr>
      </w:pPr>
    </w:p>
    <w:p w14:paraId="115E76DF" w14:textId="3EF34835" w:rsidR="00DA601F" w:rsidRDefault="00EB6BD0">
      <w:pPr>
        <w:spacing w:line="209" w:lineRule="exact"/>
        <w:ind w:left="427" w:right="444"/>
        <w:jc w:val="center"/>
        <w:rPr>
          <w:i/>
          <w:sz w:val="20"/>
          <w:lang w:val="en-US"/>
        </w:rPr>
      </w:pPr>
      <w:r w:rsidRPr="00EB6BD0">
        <w:rPr>
          <w:rFonts w:eastAsia="新細明體"/>
          <w:i/>
          <w:color w:val="231916"/>
          <w:sz w:val="20"/>
          <w:lang w:val="en-US"/>
        </w:rPr>
        <w:t>(</w:t>
      </w:r>
      <w:r w:rsidRPr="00F42143">
        <w:rPr>
          <w:rFonts w:ascii="新細明體" w:eastAsia="新細明體" w:hAnsi="新細明體" w:cs="新細明體" w:hint="eastAsia"/>
          <w:i/>
          <w:color w:val="231916"/>
          <w:sz w:val="20"/>
          <w:lang w:val="en-US"/>
        </w:rPr>
        <w:t>於開曼群島註冊成立的有限公司</w:t>
      </w:r>
      <w:r w:rsidRPr="00EB6BD0">
        <w:rPr>
          <w:rFonts w:eastAsia="新細明體"/>
          <w:i/>
          <w:color w:val="231916"/>
          <w:sz w:val="20"/>
          <w:lang w:val="en-US"/>
        </w:rPr>
        <w:t>)</w:t>
      </w:r>
    </w:p>
    <w:p w14:paraId="115E76E0" w14:textId="376577D8" w:rsidR="00DA601F" w:rsidRDefault="00EB6BD0">
      <w:pPr>
        <w:pStyle w:val="2"/>
        <w:rPr>
          <w:lang w:val="en-US"/>
        </w:rPr>
      </w:pPr>
      <w:r w:rsidRPr="00EB6BD0">
        <w:rPr>
          <w:rFonts w:eastAsia="新細明體"/>
          <w:color w:val="231916"/>
          <w:lang w:val="en-US"/>
        </w:rPr>
        <w:t>(</w:t>
      </w:r>
      <w:r w:rsidRPr="00F42143">
        <w:rPr>
          <w:rFonts w:ascii="新細明體" w:eastAsia="新細明體" w:hAnsi="新細明體" w:cs="新細明體" w:hint="eastAsia"/>
          <w:color w:val="231916"/>
          <w:lang w:val="en-US"/>
        </w:rPr>
        <w:t>股份代號：</w:t>
      </w:r>
      <w:r w:rsidRPr="00EB6BD0">
        <w:rPr>
          <w:rFonts w:eastAsia="新細明體"/>
          <w:color w:val="231916"/>
          <w:lang w:val="en-US"/>
        </w:rPr>
        <w:t>1034)</w:t>
      </w:r>
    </w:p>
    <w:p w14:paraId="115E76E1" w14:textId="77777777" w:rsidR="00DA601F" w:rsidRPr="00F05481" w:rsidRDefault="00DA601F">
      <w:pPr>
        <w:pStyle w:val="a3"/>
        <w:rPr>
          <w:b/>
          <w:sz w:val="33"/>
          <w:lang w:val="en-US"/>
        </w:rPr>
      </w:pPr>
    </w:p>
    <w:p w14:paraId="115E76E2" w14:textId="607E1954" w:rsidR="00DA601F" w:rsidRDefault="00EB6BD0" w:rsidP="0001459D">
      <w:pPr>
        <w:pStyle w:val="a5"/>
        <w:ind w:right="-33"/>
        <w:jc w:val="center"/>
        <w:rPr>
          <w:b/>
          <w:color w:val="231916"/>
          <w:sz w:val="28"/>
          <w:lang w:val="en-US"/>
        </w:rPr>
      </w:pPr>
      <w:r w:rsidRPr="00F42143">
        <w:rPr>
          <w:rFonts w:ascii="新細明體" w:eastAsia="新細明體" w:hAnsi="新細明體" w:cs="新細明體" w:hint="eastAsia"/>
          <w:b/>
          <w:color w:val="231916"/>
          <w:sz w:val="28"/>
          <w:lang w:val="en-US"/>
        </w:rPr>
        <w:t>委任核數師</w:t>
      </w:r>
    </w:p>
    <w:p w14:paraId="115E76E4" w14:textId="77777777" w:rsidR="00DA601F" w:rsidRDefault="00DA601F">
      <w:pPr>
        <w:ind w:left="433" w:right="444"/>
        <w:jc w:val="center"/>
        <w:rPr>
          <w:b/>
          <w:sz w:val="30"/>
          <w:lang w:val="en-US"/>
        </w:rPr>
      </w:pPr>
    </w:p>
    <w:p w14:paraId="115E76E5" w14:textId="0C598993" w:rsidR="00DA601F" w:rsidRDefault="00EB6BD0" w:rsidP="00F42143">
      <w:pPr>
        <w:pStyle w:val="a3"/>
        <w:spacing w:line="278" w:lineRule="auto"/>
        <w:ind w:left="113" w:right="119"/>
        <w:jc w:val="both"/>
        <w:rPr>
          <w:rFonts w:eastAsiaTheme="minorEastAsia"/>
          <w:color w:val="231916"/>
          <w:spacing w:val="9"/>
          <w:lang w:val="en-US"/>
        </w:rPr>
      </w:pPr>
      <w:r w:rsidRPr="00F42143">
        <w:rPr>
          <w:rFonts w:eastAsiaTheme="minorEastAsia" w:hint="eastAsia"/>
          <w:color w:val="231916"/>
          <w:spacing w:val="9"/>
          <w:lang w:val="en-US"/>
        </w:rPr>
        <w:t>本公佈乃由富</w:t>
      </w:r>
      <w:proofErr w:type="gramStart"/>
      <w:r w:rsidRPr="00F42143">
        <w:rPr>
          <w:rFonts w:eastAsiaTheme="minorEastAsia" w:hint="eastAsia"/>
          <w:color w:val="231916"/>
          <w:spacing w:val="9"/>
          <w:lang w:val="en-US"/>
        </w:rPr>
        <w:t>匯</w:t>
      </w:r>
      <w:proofErr w:type="gramEnd"/>
      <w:r w:rsidRPr="00F42143">
        <w:rPr>
          <w:rFonts w:eastAsiaTheme="minorEastAsia" w:hint="eastAsia"/>
          <w:color w:val="231916"/>
          <w:spacing w:val="9"/>
          <w:lang w:val="en-US"/>
        </w:rPr>
        <w:t>國際集團控股有限公司（「</w:t>
      </w:r>
      <w:r w:rsidRPr="00EB6BD0">
        <w:rPr>
          <w:rFonts w:eastAsiaTheme="minorEastAsia" w:hint="eastAsia"/>
          <w:b/>
          <w:bCs/>
          <w:color w:val="231916"/>
          <w:spacing w:val="9"/>
          <w:lang w:val="en-US"/>
        </w:rPr>
        <w:t>本公司</w:t>
      </w:r>
      <w:r w:rsidRPr="00F42143">
        <w:rPr>
          <w:rFonts w:eastAsiaTheme="minorEastAsia" w:hint="eastAsia"/>
          <w:color w:val="231916"/>
          <w:spacing w:val="9"/>
          <w:lang w:val="en-US"/>
        </w:rPr>
        <w:t>」，連同其附屬公司統稱「</w:t>
      </w:r>
      <w:r w:rsidRPr="00EB6BD0">
        <w:rPr>
          <w:rFonts w:eastAsiaTheme="minorEastAsia" w:hint="eastAsia"/>
          <w:b/>
          <w:bCs/>
          <w:color w:val="231916"/>
          <w:spacing w:val="9"/>
          <w:lang w:val="en-US"/>
        </w:rPr>
        <w:t>本集團</w:t>
      </w:r>
      <w:r w:rsidRPr="00F42143">
        <w:rPr>
          <w:rFonts w:eastAsiaTheme="minorEastAsia" w:hint="eastAsia"/>
          <w:color w:val="231916"/>
          <w:spacing w:val="9"/>
          <w:lang w:val="en-US"/>
        </w:rPr>
        <w:t>」）根據香港聯合交易所有限公司（「</w:t>
      </w:r>
      <w:r w:rsidRPr="00EB6BD0">
        <w:rPr>
          <w:rFonts w:eastAsiaTheme="minorEastAsia" w:hint="eastAsia"/>
          <w:b/>
          <w:bCs/>
          <w:color w:val="231916"/>
          <w:spacing w:val="9"/>
          <w:lang w:val="en-US"/>
        </w:rPr>
        <w:t>聯交所</w:t>
      </w:r>
      <w:r w:rsidRPr="00F42143">
        <w:rPr>
          <w:rFonts w:eastAsiaTheme="minorEastAsia" w:hint="eastAsia"/>
          <w:color w:val="231916"/>
          <w:spacing w:val="9"/>
          <w:lang w:val="en-US"/>
        </w:rPr>
        <w:t>」）證券上市規則（「</w:t>
      </w:r>
      <w:r w:rsidRPr="00EB6BD0">
        <w:rPr>
          <w:rFonts w:eastAsiaTheme="minorEastAsia" w:hint="eastAsia"/>
          <w:b/>
          <w:bCs/>
          <w:color w:val="231916"/>
          <w:spacing w:val="9"/>
          <w:lang w:val="en-US"/>
        </w:rPr>
        <w:t>上市規則</w:t>
      </w:r>
      <w:r w:rsidRPr="00F42143">
        <w:rPr>
          <w:rFonts w:eastAsiaTheme="minorEastAsia" w:hint="eastAsia"/>
          <w:color w:val="231916"/>
          <w:spacing w:val="9"/>
          <w:lang w:val="en-US"/>
        </w:rPr>
        <w:t>」）第</w:t>
      </w:r>
      <w:r w:rsidRPr="00F42143">
        <w:rPr>
          <w:rFonts w:eastAsiaTheme="minorEastAsia"/>
          <w:color w:val="231916"/>
          <w:spacing w:val="9"/>
          <w:lang w:val="en-US"/>
        </w:rPr>
        <w:t>13.51(4)</w:t>
      </w:r>
      <w:r w:rsidRPr="00F42143">
        <w:rPr>
          <w:rFonts w:eastAsiaTheme="minorEastAsia" w:hint="eastAsia"/>
          <w:color w:val="231916"/>
          <w:spacing w:val="9"/>
          <w:lang w:val="en-US"/>
        </w:rPr>
        <w:t>作出。</w:t>
      </w:r>
    </w:p>
    <w:p w14:paraId="2FFC6A85" w14:textId="77777777" w:rsidR="0001459D" w:rsidRDefault="0001459D">
      <w:pPr>
        <w:pStyle w:val="a3"/>
        <w:spacing w:line="278" w:lineRule="auto"/>
        <w:ind w:left="113" w:right="119"/>
        <w:jc w:val="both"/>
        <w:rPr>
          <w:rFonts w:eastAsiaTheme="minorEastAsia"/>
          <w:color w:val="231916"/>
          <w:spacing w:val="9"/>
          <w:lang w:val="en-US"/>
        </w:rPr>
      </w:pPr>
    </w:p>
    <w:p w14:paraId="6DD27818" w14:textId="794EEF01" w:rsidR="0001459D" w:rsidRPr="0001459D" w:rsidRDefault="00EB6BD0" w:rsidP="00F42143">
      <w:pPr>
        <w:pStyle w:val="a3"/>
        <w:spacing w:line="278" w:lineRule="auto"/>
        <w:ind w:left="113" w:right="119"/>
        <w:jc w:val="both"/>
        <w:rPr>
          <w:lang w:val="en-HK"/>
        </w:rPr>
      </w:pPr>
      <w:proofErr w:type="gramStart"/>
      <w:r w:rsidRPr="00F42143">
        <w:rPr>
          <w:rFonts w:ascii="新細明體" w:eastAsia="新細明體" w:hAnsi="新細明體" w:cs="新細明體" w:hint="eastAsia"/>
          <w:lang w:val="en-HK"/>
        </w:rPr>
        <w:t>茲提述</w:t>
      </w:r>
      <w:proofErr w:type="gramEnd"/>
      <w:r w:rsidRPr="00F42143">
        <w:rPr>
          <w:rFonts w:ascii="新細明體" w:eastAsia="新細明體" w:hAnsi="新細明體" w:cs="新細明體" w:hint="eastAsia"/>
          <w:lang w:val="en-HK"/>
        </w:rPr>
        <w:t>本公司日期為</w:t>
      </w:r>
      <w:r w:rsidRPr="00EB6BD0">
        <w:rPr>
          <w:rFonts w:eastAsia="新細明體"/>
          <w:lang w:val="en-HK"/>
        </w:rPr>
        <w:t xml:space="preserve"> 2024 </w:t>
      </w:r>
      <w:r w:rsidRPr="00F42143">
        <w:rPr>
          <w:rFonts w:ascii="新細明體" w:eastAsia="新細明體" w:hAnsi="新細明體" w:cs="新細明體" w:hint="eastAsia"/>
          <w:lang w:val="en-HK"/>
        </w:rPr>
        <w:t>年</w:t>
      </w:r>
      <w:r w:rsidRPr="00EB6BD0">
        <w:rPr>
          <w:rFonts w:eastAsia="新細明體"/>
          <w:lang w:val="en-HK"/>
        </w:rPr>
        <w:t xml:space="preserve"> 6 </w:t>
      </w:r>
      <w:r w:rsidRPr="00F42143">
        <w:rPr>
          <w:rFonts w:ascii="新細明體" w:eastAsia="新細明體" w:hAnsi="新細明體" w:cs="新細明體" w:hint="eastAsia"/>
          <w:lang w:val="en-HK"/>
        </w:rPr>
        <w:t>月</w:t>
      </w:r>
      <w:r w:rsidRPr="00EB6BD0">
        <w:rPr>
          <w:rFonts w:eastAsia="新細明體"/>
          <w:lang w:val="en-HK"/>
        </w:rPr>
        <w:t xml:space="preserve"> 19 </w:t>
      </w:r>
      <w:r w:rsidRPr="00F42143">
        <w:rPr>
          <w:rFonts w:ascii="新細明體" w:eastAsia="新細明體" w:hAnsi="新細明體" w:cs="新細明體" w:hint="eastAsia"/>
          <w:lang w:val="en-HK"/>
        </w:rPr>
        <w:t>日</w:t>
      </w:r>
      <w:proofErr w:type="gramStart"/>
      <w:r w:rsidRPr="00F42143">
        <w:rPr>
          <w:rFonts w:ascii="新細明體" w:eastAsia="新細明體" w:hAnsi="新細明體" w:cs="新細明體" w:hint="eastAsia"/>
          <w:lang w:val="en-HK"/>
        </w:rPr>
        <w:t>有關永拓富信</w:t>
      </w:r>
      <w:proofErr w:type="gramEnd"/>
      <w:r w:rsidRPr="00F42143">
        <w:rPr>
          <w:rFonts w:ascii="新細明體" w:eastAsia="新細明體" w:hAnsi="新細明體" w:cs="新細明體" w:hint="eastAsia"/>
          <w:lang w:val="en-HK"/>
        </w:rPr>
        <w:t>會計師事務所有限公司（「</w:t>
      </w:r>
      <w:r w:rsidRPr="00972300">
        <w:rPr>
          <w:rFonts w:ascii="新細明體" w:eastAsia="新細明體" w:hAnsi="新細明體" w:cs="新細明體" w:hint="eastAsia"/>
          <w:b/>
          <w:bCs/>
          <w:lang w:val="en-HK"/>
        </w:rPr>
        <w:t>永拓富信</w:t>
      </w:r>
      <w:r w:rsidRPr="00F42143">
        <w:rPr>
          <w:rFonts w:ascii="新細明體" w:eastAsia="新細明體" w:hAnsi="新細明體" w:cs="新細明體" w:hint="eastAsia"/>
          <w:lang w:val="en-HK"/>
        </w:rPr>
        <w:t>」）辭任本集團核數師等事宜的公告（「</w:t>
      </w:r>
      <w:r w:rsidRPr="00972300">
        <w:rPr>
          <w:rFonts w:ascii="新細明體" w:eastAsia="新細明體" w:hAnsi="新細明體" w:cs="新細明體" w:hint="eastAsia"/>
          <w:b/>
          <w:bCs/>
          <w:lang w:val="en-HK"/>
        </w:rPr>
        <w:t>該公告</w:t>
      </w:r>
      <w:r w:rsidRPr="00F42143">
        <w:rPr>
          <w:rFonts w:ascii="新細明體" w:eastAsia="新細明體" w:hAnsi="新細明體" w:cs="新細明體" w:hint="eastAsia"/>
          <w:lang w:val="en-HK"/>
        </w:rPr>
        <w:t>」）。</w:t>
      </w:r>
      <w:proofErr w:type="gramStart"/>
      <w:r w:rsidRPr="00F42143">
        <w:rPr>
          <w:rFonts w:ascii="新細明體" w:eastAsia="新細明體" w:hAnsi="新細明體" w:cs="新細明體" w:hint="eastAsia"/>
          <w:lang w:val="en-HK"/>
        </w:rPr>
        <w:t>除文義另</w:t>
      </w:r>
      <w:proofErr w:type="gramEnd"/>
      <w:r w:rsidRPr="00F42143">
        <w:rPr>
          <w:rFonts w:ascii="新細明體" w:eastAsia="新細明體" w:hAnsi="新細明體" w:cs="新細明體" w:hint="eastAsia"/>
          <w:lang w:val="en-HK"/>
        </w:rPr>
        <w:t>有所指外，本公告所用詞彙與該公告所界定者具有相同涵義。</w:t>
      </w:r>
    </w:p>
    <w:p w14:paraId="5F07405F" w14:textId="77777777" w:rsidR="00016DEC" w:rsidRDefault="00016DEC">
      <w:pPr>
        <w:pStyle w:val="a3"/>
        <w:spacing w:line="278" w:lineRule="auto"/>
        <w:ind w:left="113" w:right="119"/>
        <w:jc w:val="both"/>
        <w:rPr>
          <w:rFonts w:eastAsiaTheme="minorEastAsia"/>
          <w:color w:val="231916"/>
          <w:spacing w:val="9"/>
          <w:lang w:val="en-US"/>
        </w:rPr>
      </w:pPr>
    </w:p>
    <w:p w14:paraId="57A046B2" w14:textId="3A9DAE8B" w:rsidR="0001459D" w:rsidRPr="0001459D" w:rsidRDefault="00EB6BD0">
      <w:pPr>
        <w:pStyle w:val="a3"/>
        <w:spacing w:line="278" w:lineRule="auto"/>
        <w:ind w:left="113" w:right="119"/>
        <w:jc w:val="both"/>
        <w:rPr>
          <w:b/>
          <w:bCs/>
          <w:lang w:val="en-HK"/>
        </w:rPr>
      </w:pPr>
      <w:r w:rsidRPr="00F42143">
        <w:rPr>
          <w:rFonts w:ascii="新細明體" w:eastAsia="新細明體" w:hAnsi="新細明體" w:cs="新細明體" w:hint="eastAsia"/>
          <w:b/>
          <w:bCs/>
          <w:lang w:val="en-HK"/>
        </w:rPr>
        <w:t>委任核數師</w:t>
      </w:r>
      <w:r w:rsidR="0001459D" w:rsidRPr="0001459D">
        <w:rPr>
          <w:b/>
          <w:bCs/>
          <w:lang w:val="en-HK"/>
        </w:rPr>
        <w:t xml:space="preserve"> </w:t>
      </w:r>
    </w:p>
    <w:p w14:paraId="32EFF300" w14:textId="77777777" w:rsidR="0001459D" w:rsidRDefault="0001459D">
      <w:pPr>
        <w:pStyle w:val="a3"/>
        <w:spacing w:line="278" w:lineRule="auto"/>
        <w:ind w:left="113" w:right="119"/>
        <w:jc w:val="both"/>
        <w:rPr>
          <w:lang w:val="en-HK"/>
        </w:rPr>
      </w:pPr>
    </w:p>
    <w:p w14:paraId="0106848F" w14:textId="2794F290" w:rsidR="000D7B9B" w:rsidRDefault="00EB6BD0">
      <w:pPr>
        <w:pStyle w:val="a3"/>
        <w:spacing w:line="278" w:lineRule="auto"/>
        <w:ind w:left="113" w:right="119"/>
        <w:jc w:val="both"/>
        <w:rPr>
          <w:lang w:val="en-HK"/>
        </w:rPr>
      </w:pPr>
      <w:r w:rsidRPr="001D31E0">
        <w:rPr>
          <w:rFonts w:ascii="新細明體" w:eastAsia="新細明體" w:hAnsi="新細明體" w:cs="新細明體" w:hint="eastAsia"/>
          <w:lang w:val="en-HK"/>
        </w:rPr>
        <w:t>董事會謹此宣佈，經考慮本公司審核委員會（</w:t>
      </w:r>
      <w:r w:rsidRPr="00F42143">
        <w:rPr>
          <w:rFonts w:ascii="新細明體" w:eastAsia="新細明體" w:hAnsi="新細明體" w:cs="新細明體" w:hint="eastAsia"/>
          <w:lang w:val="en-HK"/>
        </w:rPr>
        <w:t>「</w:t>
      </w:r>
      <w:r w:rsidRPr="00972300">
        <w:rPr>
          <w:rFonts w:ascii="新細明體" w:eastAsia="新細明體" w:hAnsi="新細明體" w:cs="新細明體" w:hint="eastAsia"/>
          <w:b/>
          <w:bCs/>
          <w:lang w:val="en-HK"/>
        </w:rPr>
        <w:t>審核委員會</w:t>
      </w:r>
      <w:r w:rsidRPr="00F42143">
        <w:rPr>
          <w:rFonts w:ascii="新細明體" w:eastAsia="新細明體" w:hAnsi="新細明體" w:cs="新細明體" w:hint="eastAsia"/>
          <w:lang w:val="en-HK"/>
        </w:rPr>
        <w:t>」</w:t>
      </w:r>
      <w:r w:rsidRPr="001D31E0">
        <w:rPr>
          <w:rFonts w:ascii="新細明體" w:eastAsia="新細明體" w:hAnsi="新細明體" w:cs="新細明體" w:hint="eastAsia"/>
          <w:lang w:val="en-HK"/>
        </w:rPr>
        <w:t>）的建議，董事會已議決委任先機會計師行有限公司（</w:t>
      </w:r>
      <w:r w:rsidRPr="00F42143">
        <w:rPr>
          <w:rFonts w:ascii="新細明體" w:eastAsia="新細明體" w:hAnsi="新細明體" w:cs="新細明體" w:hint="eastAsia"/>
          <w:lang w:val="en-HK"/>
        </w:rPr>
        <w:t>「</w:t>
      </w:r>
      <w:r w:rsidRPr="00972300">
        <w:rPr>
          <w:rFonts w:ascii="新細明體" w:eastAsia="新細明體" w:hAnsi="新細明體" w:cs="新細明體" w:hint="eastAsia"/>
          <w:b/>
          <w:bCs/>
          <w:lang w:val="en-HK"/>
        </w:rPr>
        <w:t>先機</w:t>
      </w:r>
      <w:r w:rsidRPr="00F42143">
        <w:rPr>
          <w:rFonts w:ascii="新細明體" w:eastAsia="新細明體" w:hAnsi="新細明體" w:cs="新細明體" w:hint="eastAsia"/>
          <w:lang w:val="en-HK"/>
        </w:rPr>
        <w:t>」</w:t>
      </w:r>
      <w:r w:rsidRPr="001D31E0">
        <w:rPr>
          <w:rFonts w:ascii="新細明體" w:eastAsia="新細明體" w:hAnsi="新細明體" w:cs="新細明體" w:hint="eastAsia"/>
          <w:lang w:val="en-HK"/>
        </w:rPr>
        <w:t>）為本公司新任核數師，以</w:t>
      </w:r>
      <w:proofErr w:type="gramStart"/>
      <w:r w:rsidRPr="001D31E0">
        <w:rPr>
          <w:rFonts w:ascii="新細明體" w:eastAsia="新細明體" w:hAnsi="新細明體" w:cs="新細明體" w:hint="eastAsia"/>
          <w:lang w:val="en-HK"/>
        </w:rPr>
        <w:t>填補永拓富信</w:t>
      </w:r>
      <w:proofErr w:type="gramEnd"/>
      <w:r w:rsidRPr="001D31E0">
        <w:rPr>
          <w:rFonts w:ascii="新細明體" w:eastAsia="新細明體" w:hAnsi="新細明體" w:cs="新細明體" w:hint="eastAsia"/>
          <w:lang w:val="en-HK"/>
        </w:rPr>
        <w:t>辭任後的臨時空缺，</w:t>
      </w:r>
      <w:r w:rsidRPr="00B03649">
        <w:rPr>
          <w:rFonts w:ascii="新細明體" w:eastAsia="新細明體" w:hAnsi="新細明體" w:cs="新細明體" w:hint="eastAsia"/>
          <w:lang w:val="en-HK"/>
        </w:rPr>
        <w:t>任期自</w:t>
      </w:r>
      <w:r w:rsidRPr="00B03649">
        <w:rPr>
          <w:rFonts w:eastAsia="新細明體"/>
          <w:lang w:val="en-HK"/>
        </w:rPr>
        <w:t xml:space="preserve"> </w:t>
      </w:r>
      <w:r w:rsidRPr="00A75227">
        <w:rPr>
          <w:rFonts w:eastAsia="新細明體"/>
          <w:lang w:val="en-HK"/>
        </w:rPr>
        <w:t xml:space="preserve">2024 </w:t>
      </w:r>
      <w:r w:rsidRPr="00A75227">
        <w:rPr>
          <w:rFonts w:ascii="新細明體" w:eastAsia="新細明體" w:hAnsi="新細明體" w:cs="新細明體" w:hint="eastAsia"/>
          <w:lang w:val="en-HK"/>
        </w:rPr>
        <w:t>年</w:t>
      </w:r>
      <w:r w:rsidRPr="00A75227">
        <w:rPr>
          <w:rFonts w:eastAsia="新細明體"/>
          <w:lang w:val="en-HK"/>
        </w:rPr>
        <w:t xml:space="preserve"> 6 </w:t>
      </w:r>
      <w:r w:rsidRPr="00A75227">
        <w:rPr>
          <w:rFonts w:ascii="新細明體" w:eastAsia="新細明體" w:hAnsi="新細明體" w:cs="新細明體" w:hint="eastAsia"/>
          <w:lang w:val="en-HK"/>
        </w:rPr>
        <w:t>月</w:t>
      </w:r>
      <w:r w:rsidR="006B51CC">
        <w:rPr>
          <w:rFonts w:ascii="新細明體" w:eastAsia="新細明體" w:hAnsi="新細明體" w:cs="新細明體"/>
          <w:lang w:val="en-HK"/>
        </w:rPr>
        <w:t xml:space="preserve"> </w:t>
      </w:r>
      <w:r w:rsidR="00A75227" w:rsidRPr="00A75227">
        <w:rPr>
          <w:rFonts w:eastAsia="新細明體" w:hint="eastAsia"/>
          <w:lang w:val="en-HK"/>
        </w:rPr>
        <w:t>25</w:t>
      </w:r>
      <w:r w:rsidR="006B51CC">
        <w:rPr>
          <w:rFonts w:eastAsia="新細明體"/>
          <w:lang w:val="en-HK"/>
        </w:rPr>
        <w:t xml:space="preserve"> </w:t>
      </w:r>
      <w:r w:rsidRPr="00A75227">
        <w:rPr>
          <w:rFonts w:ascii="新細明體" w:eastAsia="新細明體" w:hAnsi="新細明體" w:cs="新細明體" w:hint="eastAsia"/>
          <w:lang w:val="en-HK"/>
        </w:rPr>
        <w:t>日起</w:t>
      </w:r>
      <w:r w:rsidRPr="001D31E0">
        <w:rPr>
          <w:rFonts w:ascii="新細明體" w:eastAsia="新細明體" w:hAnsi="新細明體" w:cs="新細明體" w:hint="eastAsia"/>
          <w:lang w:val="en-HK"/>
        </w:rPr>
        <w:t>生效。先機的任期至公司下屆股東周年大會結束時為止。</w:t>
      </w:r>
    </w:p>
    <w:p w14:paraId="211D46B9" w14:textId="77777777" w:rsidR="000D7B9B" w:rsidRDefault="000D7B9B" w:rsidP="000D7B9B">
      <w:pPr>
        <w:pStyle w:val="a3"/>
        <w:spacing w:line="278" w:lineRule="auto"/>
        <w:ind w:left="113" w:right="-33"/>
        <w:jc w:val="both"/>
        <w:rPr>
          <w:lang w:val="en-HK"/>
        </w:rPr>
      </w:pPr>
    </w:p>
    <w:p w14:paraId="5469D61C" w14:textId="0222E0BE" w:rsidR="00BD4ACA" w:rsidRDefault="00EB6BD0" w:rsidP="00BD4ACA">
      <w:pPr>
        <w:pStyle w:val="a3"/>
        <w:spacing w:line="278" w:lineRule="auto"/>
        <w:ind w:left="113" w:right="-33"/>
        <w:jc w:val="both"/>
        <w:rPr>
          <w:lang w:val="en-HK"/>
        </w:rPr>
      </w:pPr>
      <w:r w:rsidRPr="00A64F82">
        <w:rPr>
          <w:rFonts w:ascii="新細明體" w:eastAsia="新細明體" w:hAnsi="新細明體" w:cs="新細明體" w:hint="eastAsia"/>
          <w:lang w:val="en-HK"/>
        </w:rPr>
        <w:t>審計委員會在評估委任</w:t>
      </w:r>
      <w:r w:rsidRPr="001D31E0">
        <w:rPr>
          <w:rFonts w:ascii="新細明體" w:eastAsia="新細明體" w:hAnsi="新細明體" w:cs="新細明體" w:hint="eastAsia"/>
          <w:lang w:val="en-HK"/>
        </w:rPr>
        <w:t>先機</w:t>
      </w:r>
      <w:r w:rsidRPr="00A64F82">
        <w:rPr>
          <w:rFonts w:ascii="新細明體" w:eastAsia="新細明體" w:hAnsi="新細明體" w:cs="新細明體" w:hint="eastAsia"/>
          <w:lang w:val="en-HK"/>
        </w:rPr>
        <w:t>為審計師時考慮了多項因素，包括但不限於</w:t>
      </w:r>
      <w:r w:rsidRPr="00EB6BD0">
        <w:rPr>
          <w:rFonts w:eastAsia="新細明體"/>
          <w:lang w:val="en-HK"/>
        </w:rPr>
        <w:t xml:space="preserve"> (</w:t>
      </w:r>
      <w:proofErr w:type="spellStart"/>
      <w:r w:rsidRPr="00EB6BD0">
        <w:rPr>
          <w:rFonts w:eastAsia="新細明體"/>
          <w:lang w:val="en-HK"/>
        </w:rPr>
        <w:t>i</w:t>
      </w:r>
      <w:proofErr w:type="spellEnd"/>
      <w:r w:rsidRPr="00EB6BD0">
        <w:rPr>
          <w:rFonts w:eastAsia="新細明體"/>
          <w:lang w:val="en-HK"/>
        </w:rPr>
        <w:t xml:space="preserve">) </w:t>
      </w:r>
      <w:r w:rsidRPr="008B028B">
        <w:rPr>
          <w:rFonts w:ascii="新細明體" w:eastAsia="新細明體" w:hAnsi="新細明體" w:cs="新細明體" w:hint="eastAsia"/>
          <w:lang w:val="en-HK"/>
        </w:rPr>
        <w:t>會計及財務</w:t>
      </w:r>
      <w:proofErr w:type="gramStart"/>
      <w:r w:rsidRPr="008B028B">
        <w:rPr>
          <w:rFonts w:ascii="新細明體" w:eastAsia="新細明體" w:hAnsi="新細明體" w:cs="新細明體" w:hint="eastAsia"/>
          <w:lang w:val="en-HK"/>
        </w:rPr>
        <w:t>匯</w:t>
      </w:r>
      <w:proofErr w:type="gramEnd"/>
      <w:r w:rsidRPr="008B028B">
        <w:rPr>
          <w:rFonts w:ascii="新細明體" w:eastAsia="新細明體" w:hAnsi="新細明體" w:cs="新細明體" w:hint="eastAsia"/>
          <w:lang w:val="en-HK"/>
        </w:rPr>
        <w:t>報局</w:t>
      </w:r>
      <w:r w:rsidRPr="00A64F82">
        <w:rPr>
          <w:rFonts w:ascii="新細明體" w:eastAsia="新細明體" w:hAnsi="新細明體" w:cs="新細明體" w:hint="eastAsia"/>
          <w:lang w:val="en-HK"/>
        </w:rPr>
        <w:t>（</w:t>
      </w:r>
      <w:r w:rsidRPr="00F42143">
        <w:rPr>
          <w:rFonts w:ascii="新細明體" w:eastAsia="新細明體" w:hAnsi="新細明體" w:cs="新細明體" w:hint="eastAsia"/>
          <w:lang w:val="en-HK"/>
        </w:rPr>
        <w:t>「</w:t>
      </w:r>
      <w:r w:rsidRPr="00972300">
        <w:rPr>
          <w:rFonts w:ascii="新細明體" w:eastAsia="新細明體" w:hAnsi="新細明體" w:cs="新細明體" w:hint="eastAsia"/>
          <w:b/>
          <w:bCs/>
          <w:lang w:val="en-HK"/>
        </w:rPr>
        <w:t>會計財務</w:t>
      </w:r>
      <w:proofErr w:type="gramStart"/>
      <w:r w:rsidRPr="00972300">
        <w:rPr>
          <w:rFonts w:ascii="新細明體" w:eastAsia="新細明體" w:hAnsi="新細明體" w:cs="新細明體" w:hint="eastAsia"/>
          <w:b/>
          <w:bCs/>
          <w:lang w:val="en-HK"/>
        </w:rPr>
        <w:t>匯</w:t>
      </w:r>
      <w:proofErr w:type="gramEnd"/>
      <w:r w:rsidRPr="00972300">
        <w:rPr>
          <w:rFonts w:ascii="新細明體" w:eastAsia="新細明體" w:hAnsi="新細明體" w:cs="新細明體" w:hint="eastAsia"/>
          <w:b/>
          <w:bCs/>
          <w:lang w:val="en-HK"/>
        </w:rPr>
        <w:t>報局</w:t>
      </w:r>
      <w:r w:rsidRPr="00F42143">
        <w:rPr>
          <w:rFonts w:ascii="新細明體" w:eastAsia="新細明體" w:hAnsi="新細明體" w:cs="新細明體" w:hint="eastAsia"/>
          <w:lang w:val="en-HK"/>
        </w:rPr>
        <w:t>」</w:t>
      </w:r>
      <w:r w:rsidRPr="00A64F82">
        <w:rPr>
          <w:rFonts w:ascii="新細明體" w:eastAsia="新細明體" w:hAnsi="新細明體" w:cs="新細明體" w:hint="eastAsia"/>
          <w:lang w:val="en-HK"/>
        </w:rPr>
        <w:t>）發佈的</w:t>
      </w:r>
      <w:r w:rsidRPr="008B028B">
        <w:rPr>
          <w:rFonts w:ascii="新細明體" w:eastAsia="新細明體" w:hAnsi="新細明體" w:cs="新細明體" w:hint="eastAsia"/>
          <w:lang w:val="en-HK"/>
        </w:rPr>
        <w:t>審計委員會有效運作指引</w:t>
      </w:r>
      <w:r w:rsidRPr="008B028B">
        <w:rPr>
          <w:rFonts w:ascii="新細明體" w:eastAsia="新細明體" w:hAnsi="新細明體" w:cs="新細明體"/>
          <w:lang w:val="en-HK"/>
        </w:rPr>
        <w:t xml:space="preserve"> </w:t>
      </w:r>
      <w:proofErr w:type="gramStart"/>
      <w:r w:rsidRPr="008B028B">
        <w:rPr>
          <w:rFonts w:ascii="新細明體" w:eastAsia="新細明體" w:hAnsi="新細明體" w:cs="新細明體"/>
          <w:lang w:val="en-HK"/>
        </w:rPr>
        <w:t>—</w:t>
      </w:r>
      <w:proofErr w:type="gramEnd"/>
      <w:r w:rsidRPr="008B028B">
        <w:rPr>
          <w:rFonts w:ascii="新細明體" w:eastAsia="新細明體" w:hAnsi="新細明體" w:cs="新細明體"/>
          <w:lang w:val="en-HK"/>
        </w:rPr>
        <w:t xml:space="preserve"> </w:t>
      </w:r>
      <w:r w:rsidRPr="008B028B">
        <w:rPr>
          <w:rFonts w:ascii="新細明體" w:eastAsia="新細明體" w:hAnsi="新細明體" w:cs="新細明體" w:hint="eastAsia"/>
          <w:lang w:val="en-HK"/>
        </w:rPr>
        <w:t>甄選、委任及重新委任核數師</w:t>
      </w:r>
      <w:r w:rsidRPr="00A64F82">
        <w:rPr>
          <w:rFonts w:ascii="新細明體" w:eastAsia="新細明體" w:hAnsi="新細明體" w:cs="新細明體" w:hint="eastAsia"/>
          <w:lang w:val="en-HK"/>
        </w:rPr>
        <w:t>中規定的指引，特別是第</w:t>
      </w:r>
      <w:r w:rsidRPr="00EB6BD0">
        <w:rPr>
          <w:rFonts w:eastAsia="新細明體"/>
          <w:lang w:val="en-HK"/>
        </w:rPr>
        <w:t xml:space="preserve"> 2.2</w:t>
      </w:r>
      <w:r w:rsidR="00972300">
        <w:rPr>
          <w:rFonts w:eastAsia="新細明體" w:hint="eastAsia"/>
          <w:lang w:val="en-HK"/>
        </w:rPr>
        <w:t xml:space="preserve"> </w:t>
      </w:r>
      <w:r>
        <w:rPr>
          <w:rFonts w:eastAsiaTheme="minorEastAsia" w:hint="eastAsia"/>
          <w:lang w:val="en-HK"/>
        </w:rPr>
        <w:t>節</w:t>
      </w:r>
      <w:r w:rsidRPr="00A64F82">
        <w:rPr>
          <w:rFonts w:eastAsiaTheme="minorEastAsia" w:hint="eastAsia"/>
          <w:lang w:val="en-HK"/>
        </w:rPr>
        <w:t>關於</w:t>
      </w:r>
      <w:r w:rsidRPr="008B028B">
        <w:rPr>
          <w:rFonts w:eastAsiaTheme="minorEastAsia" w:hint="eastAsia"/>
          <w:lang w:val="en-HK"/>
        </w:rPr>
        <w:t>評估審計質素</w:t>
      </w:r>
      <w:r>
        <w:rPr>
          <w:rFonts w:eastAsiaTheme="minorEastAsia"/>
          <w:lang w:val="en-HK"/>
        </w:rPr>
        <w:t>;</w:t>
      </w:r>
      <w:r w:rsidRPr="00EB6BD0">
        <w:rPr>
          <w:rFonts w:eastAsia="新細明體"/>
          <w:lang w:val="en-HK"/>
        </w:rPr>
        <w:t xml:space="preserve"> (ii) </w:t>
      </w:r>
      <w:r w:rsidRPr="00A64F82">
        <w:rPr>
          <w:rFonts w:ascii="新細明體" w:eastAsia="新細明體" w:hAnsi="新細明體" w:cs="新細明體" w:hint="eastAsia"/>
          <w:lang w:val="en-HK"/>
        </w:rPr>
        <w:t>會計及財務</w:t>
      </w:r>
      <w:proofErr w:type="gramStart"/>
      <w:r w:rsidRPr="00A64F82">
        <w:rPr>
          <w:rFonts w:ascii="新細明體" w:eastAsia="新細明體" w:hAnsi="新細明體" w:cs="新細明體" w:hint="eastAsia"/>
          <w:lang w:val="en-HK"/>
        </w:rPr>
        <w:t>匯</w:t>
      </w:r>
      <w:proofErr w:type="gramEnd"/>
      <w:r w:rsidRPr="00A64F82">
        <w:rPr>
          <w:rFonts w:ascii="新細明體" w:eastAsia="新細明體" w:hAnsi="新細明體" w:cs="新細明體" w:hint="eastAsia"/>
          <w:lang w:val="en-HK"/>
        </w:rPr>
        <w:t>報局於</w:t>
      </w:r>
      <w:r w:rsidRPr="00EB6BD0">
        <w:rPr>
          <w:rFonts w:eastAsia="新細明體"/>
          <w:lang w:val="en-HK"/>
        </w:rPr>
        <w:t xml:space="preserve"> 2023 </w:t>
      </w:r>
      <w:r w:rsidRPr="00A64F82">
        <w:rPr>
          <w:rFonts w:ascii="新細明體" w:eastAsia="新細明體" w:hAnsi="新細明體" w:cs="新細明體" w:hint="eastAsia"/>
          <w:lang w:val="en-HK"/>
        </w:rPr>
        <w:t>年</w:t>
      </w:r>
      <w:r w:rsidRPr="00EB6BD0">
        <w:rPr>
          <w:rFonts w:eastAsia="新細明體"/>
          <w:lang w:val="en-HK"/>
        </w:rPr>
        <w:t xml:space="preserve"> 9 </w:t>
      </w:r>
      <w:r w:rsidRPr="00A64F82">
        <w:rPr>
          <w:rFonts w:ascii="新細明體" w:eastAsia="新細明體" w:hAnsi="新細明體" w:cs="新細明體" w:hint="eastAsia"/>
          <w:lang w:val="en-HK"/>
        </w:rPr>
        <w:t>月發出的更換核數師的指導說明，並已考慮相關因素包括</w:t>
      </w:r>
      <w:r w:rsidRPr="001D31E0">
        <w:rPr>
          <w:rFonts w:ascii="新細明體" w:eastAsia="新細明體" w:hAnsi="新細明體" w:cs="新細明體" w:hint="eastAsia"/>
          <w:lang w:val="en-HK"/>
        </w:rPr>
        <w:t>先機</w:t>
      </w:r>
      <w:r w:rsidRPr="00A64F82">
        <w:rPr>
          <w:rFonts w:ascii="新細明體" w:eastAsia="新細明體" w:hAnsi="新細明體" w:cs="新細明體" w:hint="eastAsia"/>
          <w:lang w:val="en-HK"/>
        </w:rPr>
        <w:t>對集團的獨立性、客觀性及其為其他聯交所上市公司進行審計工作</w:t>
      </w:r>
      <w:proofErr w:type="gramStart"/>
      <w:r w:rsidRPr="00A64F82">
        <w:rPr>
          <w:rFonts w:ascii="新細明體" w:eastAsia="新細明體" w:hAnsi="新細明體" w:cs="新細明體" w:hint="eastAsia"/>
          <w:lang w:val="en-HK"/>
        </w:rPr>
        <w:t>的往績</w:t>
      </w:r>
      <w:proofErr w:type="gramEnd"/>
      <w:r w:rsidRPr="00A64F82">
        <w:rPr>
          <w:rFonts w:ascii="新細明體" w:eastAsia="新細明體" w:hAnsi="新細明體" w:cs="新細明體" w:hint="eastAsia"/>
          <w:lang w:val="en-HK"/>
        </w:rPr>
        <w:t>、其服務建議（包括工作範圍、費用及時間表）、資源（包括人手）、能力（包括團隊經驗及專業知識）及對時間的承</w:t>
      </w:r>
      <w:r w:rsidR="00455A4B">
        <w:rPr>
          <w:rFonts w:ascii="新細明體" w:eastAsia="新細明體" w:hAnsi="新細明體" w:cs="新細明體" w:hint="eastAsia"/>
          <w:lang w:val="en-HK"/>
        </w:rPr>
        <w:t>諾</w:t>
      </w:r>
      <w:r w:rsidRPr="00A64F82">
        <w:rPr>
          <w:rFonts w:ascii="新細明體" w:eastAsia="新細明體" w:hAnsi="新細明體" w:cs="新細明體" w:hint="eastAsia"/>
          <w:lang w:val="en-HK"/>
        </w:rPr>
        <w:t>。</w:t>
      </w:r>
      <w:r w:rsidR="000D7B9B" w:rsidRPr="000D7B9B">
        <w:rPr>
          <w:lang w:val="en-HK"/>
        </w:rPr>
        <w:t xml:space="preserve"> </w:t>
      </w:r>
    </w:p>
    <w:p w14:paraId="0E53ED4A" w14:textId="77777777" w:rsidR="00BD4ACA" w:rsidRDefault="00BD4ACA" w:rsidP="00BD4ACA">
      <w:pPr>
        <w:pStyle w:val="a3"/>
        <w:spacing w:line="278" w:lineRule="auto"/>
        <w:ind w:left="113" w:right="-33"/>
        <w:jc w:val="both"/>
        <w:rPr>
          <w:lang w:val="en-HK"/>
        </w:rPr>
      </w:pPr>
    </w:p>
    <w:p w14:paraId="6287D739" w14:textId="5885E169" w:rsidR="00574A09" w:rsidRDefault="00EB6BD0" w:rsidP="00BD4ACA">
      <w:pPr>
        <w:pStyle w:val="a3"/>
        <w:spacing w:line="278" w:lineRule="auto"/>
        <w:ind w:left="113" w:right="-33"/>
        <w:jc w:val="both"/>
        <w:rPr>
          <w:lang w:val="en-HK"/>
        </w:rPr>
      </w:pPr>
      <w:r w:rsidRPr="008B028B">
        <w:rPr>
          <w:rFonts w:ascii="新細明體" w:eastAsia="新細明體" w:hAnsi="新細明體" w:cs="新細明體" w:hint="eastAsia"/>
          <w:lang w:val="en-HK"/>
        </w:rPr>
        <w:t>在確認委任</w:t>
      </w:r>
      <w:r w:rsidRPr="001D31E0">
        <w:rPr>
          <w:rFonts w:ascii="新細明體" w:eastAsia="新細明體" w:hAnsi="新細明體" w:cs="新細明體" w:hint="eastAsia"/>
          <w:lang w:val="en-HK"/>
        </w:rPr>
        <w:t>先機</w:t>
      </w:r>
      <w:r w:rsidRPr="008B028B">
        <w:rPr>
          <w:rFonts w:ascii="新細明體" w:eastAsia="新細明體" w:hAnsi="新細明體" w:cs="新細明體" w:hint="eastAsia"/>
          <w:lang w:val="en-HK"/>
        </w:rPr>
        <w:t>之前，審計委員會與</w:t>
      </w:r>
      <w:r w:rsidRPr="001D31E0">
        <w:rPr>
          <w:rFonts w:ascii="新細明體" w:eastAsia="新細明體" w:hAnsi="新細明體" w:cs="新細明體" w:hint="eastAsia"/>
          <w:lang w:val="en-HK"/>
        </w:rPr>
        <w:t>先機</w:t>
      </w:r>
      <w:r w:rsidRPr="008B028B">
        <w:rPr>
          <w:rFonts w:ascii="新細明體" w:eastAsia="新細明體" w:hAnsi="新細明體" w:cs="新細明體" w:hint="eastAsia"/>
          <w:lang w:val="en-HK"/>
        </w:rPr>
        <w:t>進行了溝通，並確信</w:t>
      </w:r>
      <w:r w:rsidRPr="001D31E0">
        <w:rPr>
          <w:rFonts w:ascii="新細明體" w:eastAsia="新細明體" w:hAnsi="新細明體" w:cs="新細明體" w:hint="eastAsia"/>
          <w:lang w:val="en-HK"/>
        </w:rPr>
        <w:t>先機</w:t>
      </w:r>
      <w:r w:rsidRPr="008B028B">
        <w:rPr>
          <w:rFonts w:ascii="新細明體" w:eastAsia="新細明體" w:hAnsi="新細明體" w:cs="新細明體" w:hint="eastAsia"/>
          <w:lang w:val="en-HK"/>
        </w:rPr>
        <w:t>理解導致</w:t>
      </w:r>
      <w:r w:rsidRPr="00F42143">
        <w:rPr>
          <w:rFonts w:ascii="新細明體" w:eastAsia="新細明體" w:hAnsi="新細明體" w:cs="新細明體" w:hint="eastAsia"/>
          <w:lang w:val="en-HK"/>
        </w:rPr>
        <w:t>永拓富信</w:t>
      </w:r>
      <w:r w:rsidRPr="008B028B">
        <w:rPr>
          <w:rFonts w:ascii="新細明體" w:eastAsia="新細明體" w:hAnsi="新細明體" w:cs="新細明體" w:hint="eastAsia"/>
          <w:lang w:val="en-HK"/>
        </w:rPr>
        <w:t>辭職的原因，其審計</w:t>
      </w:r>
      <w:r w:rsidR="00972300">
        <w:rPr>
          <w:rFonts w:ascii="新細明體" w:eastAsia="新細明體" w:hAnsi="新細明體" w:cs="新細明體" w:hint="eastAsia"/>
          <w:lang w:val="en-HK"/>
        </w:rPr>
        <w:t>計劃</w:t>
      </w:r>
      <w:r w:rsidRPr="008B028B">
        <w:rPr>
          <w:rFonts w:ascii="新細明體" w:eastAsia="新細明體" w:hAnsi="新細明體" w:cs="新細明體" w:hint="eastAsia"/>
          <w:lang w:val="en-HK"/>
        </w:rPr>
        <w:t>能夠解決</w:t>
      </w:r>
      <w:r w:rsidR="00A10D6C" w:rsidRPr="00A10D6C">
        <w:rPr>
          <w:rFonts w:ascii="新細明體" w:eastAsia="新細明體" w:hAnsi="新細明體" w:cs="新細明體" w:hint="eastAsia"/>
          <w:lang w:val="en-HK"/>
        </w:rPr>
        <w:t>該</w:t>
      </w:r>
      <w:r w:rsidRPr="008B028B">
        <w:rPr>
          <w:rFonts w:ascii="新細明體" w:eastAsia="新細明體" w:hAnsi="新細明體" w:cs="新細明體" w:hint="eastAsia"/>
          <w:lang w:val="en-HK"/>
        </w:rPr>
        <w:t>公告中披露的審計問題。</w:t>
      </w:r>
      <w:r w:rsidR="00BD4ACA">
        <w:rPr>
          <w:lang w:val="en-HK"/>
        </w:rPr>
        <w:t xml:space="preserve"> </w:t>
      </w:r>
    </w:p>
    <w:p w14:paraId="318EB833" w14:textId="77777777" w:rsidR="000D7B9B" w:rsidRPr="00BD4ACA" w:rsidRDefault="000D7B9B" w:rsidP="000D7B9B">
      <w:pPr>
        <w:pStyle w:val="a3"/>
        <w:spacing w:line="278" w:lineRule="auto"/>
        <w:ind w:left="113" w:right="-33"/>
        <w:jc w:val="both"/>
        <w:rPr>
          <w:lang w:val="en-HK"/>
        </w:rPr>
      </w:pPr>
    </w:p>
    <w:p w14:paraId="2763AF2E" w14:textId="0EC3CD1C" w:rsidR="008C11F7" w:rsidRDefault="00EB6BD0" w:rsidP="000D7B9B">
      <w:pPr>
        <w:pStyle w:val="a3"/>
        <w:spacing w:line="278" w:lineRule="auto"/>
        <w:ind w:left="113" w:right="-33"/>
        <w:jc w:val="both"/>
        <w:rPr>
          <w:lang w:val="en-HK"/>
        </w:rPr>
      </w:pPr>
      <w:r w:rsidRPr="008B028B">
        <w:rPr>
          <w:rFonts w:ascii="新細明體" w:eastAsia="新細明體" w:hAnsi="新細明體" w:cs="新細明體" w:hint="eastAsia"/>
          <w:lang w:val="en-HK"/>
        </w:rPr>
        <w:t>基於上述情況，經審慎考慮後，董事會及審核委員會認為：</w:t>
      </w:r>
      <w:r w:rsidRPr="00EB6BD0">
        <w:rPr>
          <w:rFonts w:eastAsia="新細明體"/>
          <w:lang w:val="en-HK"/>
        </w:rPr>
        <w:t xml:space="preserve">(a) </w:t>
      </w:r>
      <w:r w:rsidRPr="001D31E0">
        <w:rPr>
          <w:rFonts w:ascii="新細明體" w:eastAsia="新細明體" w:hAnsi="新細明體" w:cs="新細明體" w:hint="eastAsia"/>
          <w:lang w:val="en-HK"/>
        </w:rPr>
        <w:t>先機</w:t>
      </w:r>
      <w:r w:rsidRPr="008B028B">
        <w:rPr>
          <w:rFonts w:ascii="新細明體" w:eastAsia="新細明體" w:hAnsi="新細明體" w:cs="新細明體" w:hint="eastAsia"/>
          <w:lang w:val="en-HK"/>
        </w:rPr>
        <w:t>符合資格並適合擔任</w:t>
      </w:r>
      <w:r w:rsidR="00427FFB">
        <w:rPr>
          <w:rFonts w:ascii="新細明體" w:eastAsia="新細明體" w:hAnsi="新細明體" w:cs="新細明體" w:hint="eastAsia"/>
          <w:lang w:val="en-HK"/>
        </w:rPr>
        <w:t>本</w:t>
      </w:r>
      <w:r w:rsidRPr="008B028B">
        <w:rPr>
          <w:rFonts w:ascii="新細明體" w:eastAsia="新細明體" w:hAnsi="新細明體" w:cs="新細明體" w:hint="eastAsia"/>
          <w:lang w:val="en-HK"/>
        </w:rPr>
        <w:t>集團的新任</w:t>
      </w:r>
      <w:r w:rsidRPr="00A64F82">
        <w:rPr>
          <w:rFonts w:ascii="新細明體" w:eastAsia="新細明體" w:hAnsi="新細明體" w:cs="新細明體" w:hint="eastAsia"/>
          <w:lang w:val="en-HK"/>
        </w:rPr>
        <w:t>核數師</w:t>
      </w:r>
      <w:r w:rsidRPr="008B028B">
        <w:rPr>
          <w:rFonts w:ascii="新細明體" w:eastAsia="新細明體" w:hAnsi="新細明體" w:cs="新細明體" w:hint="eastAsia"/>
          <w:lang w:val="en-HK"/>
        </w:rPr>
        <w:t>；</w:t>
      </w:r>
      <w:r w:rsidRPr="00EB6BD0">
        <w:rPr>
          <w:rFonts w:eastAsia="新細明體"/>
          <w:lang w:val="en-HK"/>
        </w:rPr>
        <w:t>(</w:t>
      </w:r>
      <w:r>
        <w:rPr>
          <w:rFonts w:eastAsiaTheme="minorEastAsia"/>
          <w:lang w:val="en-HK"/>
        </w:rPr>
        <w:t>b</w:t>
      </w:r>
      <w:r w:rsidRPr="00EB6BD0">
        <w:rPr>
          <w:rFonts w:eastAsia="新細明體"/>
          <w:lang w:val="en-HK"/>
        </w:rPr>
        <w:t>)</w:t>
      </w:r>
      <w:r>
        <w:rPr>
          <w:rFonts w:eastAsiaTheme="minorEastAsia"/>
          <w:lang w:val="en-HK"/>
        </w:rPr>
        <w:t xml:space="preserve"> </w:t>
      </w:r>
      <w:r w:rsidRPr="008B028B">
        <w:rPr>
          <w:rFonts w:ascii="新細明體" w:eastAsia="新細明體" w:hAnsi="新細明體" w:cs="新細明體" w:hint="eastAsia"/>
          <w:lang w:val="en-HK"/>
        </w:rPr>
        <w:t>經參考</w:t>
      </w:r>
      <w:r>
        <w:rPr>
          <w:rFonts w:ascii="新細明體" w:eastAsia="新細明體" w:hAnsi="新細明體" w:cs="新細明體" w:hint="eastAsia"/>
          <w:lang w:val="en-HK"/>
        </w:rPr>
        <w:t>本</w:t>
      </w:r>
      <w:r w:rsidRPr="008B028B">
        <w:rPr>
          <w:rFonts w:ascii="新細明體" w:eastAsia="新細明體" w:hAnsi="新細明體" w:cs="新細明體" w:hint="eastAsia"/>
          <w:lang w:val="en-HK"/>
        </w:rPr>
        <w:t>集團的業務營運及資產規模，與</w:t>
      </w:r>
      <w:r w:rsidRPr="001D31E0">
        <w:rPr>
          <w:rFonts w:ascii="新細明體" w:eastAsia="新細明體" w:hAnsi="新細明體" w:cs="新細明體" w:hint="eastAsia"/>
          <w:lang w:val="en-HK"/>
        </w:rPr>
        <w:t>先機</w:t>
      </w:r>
      <w:r w:rsidRPr="008B028B">
        <w:rPr>
          <w:rFonts w:ascii="新細明體" w:eastAsia="新細明體" w:hAnsi="新細明體" w:cs="新細明體" w:hint="eastAsia"/>
          <w:lang w:val="en-HK"/>
        </w:rPr>
        <w:t>議定的審計費用與</w:t>
      </w:r>
      <w:r>
        <w:rPr>
          <w:rFonts w:ascii="新細明體" w:eastAsia="新細明體" w:hAnsi="新細明體" w:cs="新細明體" w:hint="eastAsia"/>
          <w:lang w:val="en-HK"/>
        </w:rPr>
        <w:t>本</w:t>
      </w:r>
      <w:r w:rsidRPr="008B028B">
        <w:rPr>
          <w:rFonts w:ascii="新細明體" w:eastAsia="新細明體" w:hAnsi="新細明體" w:cs="新細明體" w:hint="eastAsia"/>
          <w:lang w:val="en-HK"/>
        </w:rPr>
        <w:t>集團所需的審計工作範圍相稱；及</w:t>
      </w:r>
      <w:r w:rsidRPr="00EB6BD0">
        <w:rPr>
          <w:rFonts w:eastAsia="新細明體"/>
          <w:lang w:val="en-HK"/>
        </w:rPr>
        <w:t>(</w:t>
      </w:r>
      <w:r>
        <w:rPr>
          <w:rFonts w:eastAsiaTheme="minorEastAsia"/>
          <w:lang w:val="en-HK"/>
        </w:rPr>
        <w:t>c</w:t>
      </w:r>
      <w:r w:rsidRPr="00EB6BD0">
        <w:rPr>
          <w:rFonts w:eastAsia="新細明體"/>
          <w:lang w:val="en-HK"/>
        </w:rPr>
        <w:t>)</w:t>
      </w:r>
      <w:r>
        <w:rPr>
          <w:rFonts w:eastAsiaTheme="minorEastAsia"/>
          <w:lang w:val="en-HK"/>
        </w:rPr>
        <w:t xml:space="preserve"> </w:t>
      </w:r>
      <w:r w:rsidRPr="008B028B">
        <w:rPr>
          <w:rFonts w:ascii="新細明體" w:eastAsia="新細明體" w:hAnsi="新細明體" w:cs="新細明體" w:hint="eastAsia"/>
          <w:lang w:val="en-HK"/>
        </w:rPr>
        <w:t>委任</w:t>
      </w:r>
      <w:r w:rsidRPr="001D31E0">
        <w:rPr>
          <w:rFonts w:ascii="新細明體" w:eastAsia="新細明體" w:hAnsi="新細明體" w:cs="新細明體" w:hint="eastAsia"/>
          <w:lang w:val="en-HK"/>
        </w:rPr>
        <w:t>先機</w:t>
      </w:r>
      <w:r w:rsidRPr="008B028B">
        <w:rPr>
          <w:rFonts w:ascii="新細明體" w:eastAsia="新細明體" w:hAnsi="新細明體" w:cs="新細明體" w:hint="eastAsia"/>
          <w:lang w:val="en-HK"/>
        </w:rPr>
        <w:t>符合</w:t>
      </w:r>
      <w:r>
        <w:rPr>
          <w:rFonts w:ascii="新細明體" w:eastAsia="新細明體" w:hAnsi="新細明體" w:cs="新細明體" w:hint="eastAsia"/>
          <w:lang w:val="en-HK"/>
        </w:rPr>
        <w:t>本</w:t>
      </w:r>
      <w:r w:rsidRPr="008B028B">
        <w:rPr>
          <w:rFonts w:ascii="新細明體" w:eastAsia="新細明體" w:hAnsi="新細明體" w:cs="新細明體" w:hint="eastAsia"/>
          <w:lang w:val="en-HK"/>
        </w:rPr>
        <w:t>公司及其股東的整體利益。</w:t>
      </w:r>
      <w:r w:rsidR="000D7B9B" w:rsidRPr="000D7B9B">
        <w:rPr>
          <w:lang w:val="en-HK"/>
        </w:rPr>
        <w:t xml:space="preserve"> </w:t>
      </w:r>
    </w:p>
    <w:p w14:paraId="6F958D64" w14:textId="1AE48DB3" w:rsidR="008C11F7" w:rsidRDefault="00EB6BD0" w:rsidP="000D7B9B">
      <w:pPr>
        <w:pStyle w:val="a3"/>
        <w:spacing w:line="278" w:lineRule="auto"/>
        <w:ind w:left="113" w:right="-33"/>
        <w:jc w:val="both"/>
        <w:rPr>
          <w:lang w:val="en-HK"/>
        </w:rPr>
      </w:pPr>
      <w:r w:rsidRPr="00A75227">
        <w:rPr>
          <w:rFonts w:ascii="新細明體" w:eastAsia="新細明體" w:hAnsi="新細明體" w:cs="新細明體" w:hint="eastAsia"/>
          <w:lang w:val="en-HK"/>
        </w:rPr>
        <w:lastRenderedPageBreak/>
        <w:t>本公司將繼續盡力盡快完成審核程式，但本集團截至</w:t>
      </w:r>
      <w:r w:rsidRPr="00A75227">
        <w:rPr>
          <w:rFonts w:eastAsia="新細明體"/>
          <w:lang w:val="en-HK"/>
        </w:rPr>
        <w:t xml:space="preserve"> 2023 </w:t>
      </w:r>
      <w:r w:rsidRPr="00A75227">
        <w:rPr>
          <w:rFonts w:ascii="新細明體" w:eastAsia="新細明體" w:hAnsi="新細明體" w:cs="新細明體" w:hint="eastAsia"/>
          <w:lang w:val="en-HK"/>
        </w:rPr>
        <w:t>年</w:t>
      </w:r>
      <w:r w:rsidRPr="00A75227">
        <w:rPr>
          <w:rFonts w:eastAsia="新細明體"/>
          <w:lang w:val="en-HK"/>
        </w:rPr>
        <w:t xml:space="preserve"> 12 </w:t>
      </w:r>
      <w:r w:rsidRPr="00A75227">
        <w:rPr>
          <w:rFonts w:ascii="新細明體" w:eastAsia="新細明體" w:hAnsi="新細明體" w:cs="新細明體" w:hint="eastAsia"/>
          <w:lang w:val="en-HK"/>
        </w:rPr>
        <w:t>月</w:t>
      </w:r>
      <w:r w:rsidRPr="00A75227">
        <w:rPr>
          <w:rFonts w:eastAsia="新細明體"/>
          <w:lang w:val="en-HK"/>
        </w:rPr>
        <w:t xml:space="preserve"> 31 </w:t>
      </w:r>
      <w:r w:rsidRPr="00A75227">
        <w:rPr>
          <w:rFonts w:ascii="新細明體" w:eastAsia="新細明體" w:hAnsi="新細明體" w:cs="新細明體" w:hint="eastAsia"/>
          <w:lang w:val="en-HK"/>
        </w:rPr>
        <w:t>日止年度的經審核年度業績（「</w:t>
      </w:r>
      <w:r w:rsidRPr="00A75227">
        <w:rPr>
          <w:rFonts w:eastAsia="新細明體"/>
          <w:b/>
          <w:bCs/>
          <w:lang w:val="en-HK"/>
        </w:rPr>
        <w:t xml:space="preserve">2023 </w:t>
      </w:r>
      <w:r w:rsidRPr="00A75227">
        <w:rPr>
          <w:rFonts w:ascii="新細明體" w:eastAsia="新細明體" w:hAnsi="新細明體" w:cs="新細明體" w:hint="eastAsia"/>
          <w:b/>
          <w:bCs/>
          <w:lang w:val="en-HK"/>
        </w:rPr>
        <w:t>年度業績</w:t>
      </w:r>
      <w:r w:rsidRPr="00A75227">
        <w:rPr>
          <w:rFonts w:ascii="新細明體" w:eastAsia="新細明體" w:hAnsi="新細明體" w:cs="新細明體" w:hint="eastAsia"/>
          <w:lang w:val="en-HK"/>
        </w:rPr>
        <w:t>」）的預期刊發日期，須待審核工作接近完成時方可確定。有關審核程式的任何重大發展，包括預期完成審核的日期及</w:t>
      </w:r>
      <w:r w:rsidRPr="00A75227">
        <w:rPr>
          <w:rFonts w:eastAsia="新細明體"/>
          <w:lang w:val="en-HK"/>
        </w:rPr>
        <w:t xml:space="preserve"> 2023 </w:t>
      </w:r>
      <w:r w:rsidRPr="00A75227">
        <w:rPr>
          <w:rFonts w:ascii="新細明體" w:eastAsia="新細明體" w:hAnsi="新細明體" w:cs="新細明體" w:hint="eastAsia"/>
          <w:lang w:val="en-HK"/>
        </w:rPr>
        <w:t>年度業績的</w:t>
      </w:r>
      <w:proofErr w:type="gramStart"/>
      <w:r w:rsidRPr="00A75227">
        <w:rPr>
          <w:rFonts w:ascii="新細明體" w:eastAsia="新細明體" w:hAnsi="新細明體" w:cs="新細明體" w:hint="eastAsia"/>
          <w:lang w:val="en-HK"/>
        </w:rPr>
        <w:t>預期刊發日期</w:t>
      </w:r>
      <w:proofErr w:type="gramEnd"/>
      <w:r w:rsidRPr="00A75227">
        <w:rPr>
          <w:rFonts w:ascii="新細明體" w:eastAsia="新細明體" w:hAnsi="新細明體" w:cs="新細明體" w:hint="eastAsia"/>
          <w:lang w:val="en-HK"/>
        </w:rPr>
        <w:t>，將於適當時候</w:t>
      </w:r>
      <w:proofErr w:type="gramStart"/>
      <w:r w:rsidRPr="00A75227">
        <w:rPr>
          <w:rFonts w:ascii="新細明體" w:eastAsia="新細明體" w:hAnsi="新細明體" w:cs="新細明體" w:hint="eastAsia"/>
          <w:lang w:val="en-HK"/>
        </w:rPr>
        <w:t>另行刊發公告</w:t>
      </w:r>
      <w:proofErr w:type="gramEnd"/>
      <w:r w:rsidRPr="00A75227">
        <w:rPr>
          <w:rFonts w:ascii="新細明體" w:eastAsia="新細明體" w:hAnsi="新細明體" w:cs="新細明體" w:hint="eastAsia"/>
          <w:lang w:val="en-HK"/>
        </w:rPr>
        <w:t>。</w:t>
      </w:r>
      <w:r w:rsidDel="00EB6BD0">
        <w:rPr>
          <w:lang w:val="en-HK"/>
        </w:rPr>
        <w:t xml:space="preserve"> </w:t>
      </w:r>
      <w:r w:rsidR="000D7B9B" w:rsidRPr="000D7B9B">
        <w:rPr>
          <w:lang w:val="en-HK"/>
        </w:rPr>
        <w:t xml:space="preserve"> </w:t>
      </w:r>
    </w:p>
    <w:p w14:paraId="5097FDDA" w14:textId="77777777" w:rsidR="008C11F7" w:rsidRDefault="008C11F7" w:rsidP="000D7B9B">
      <w:pPr>
        <w:pStyle w:val="a3"/>
        <w:spacing w:line="278" w:lineRule="auto"/>
        <w:ind w:left="113" w:right="-33"/>
        <w:jc w:val="both"/>
        <w:rPr>
          <w:lang w:val="en-HK"/>
        </w:rPr>
      </w:pPr>
    </w:p>
    <w:p w14:paraId="0949FB4B" w14:textId="4E70D8EE" w:rsidR="000D7B9B" w:rsidRDefault="00EB6BD0" w:rsidP="000D7B9B">
      <w:pPr>
        <w:pStyle w:val="a3"/>
        <w:spacing w:line="278" w:lineRule="auto"/>
        <w:ind w:left="113" w:right="-33"/>
        <w:jc w:val="both"/>
        <w:rPr>
          <w:lang w:val="en-HK"/>
        </w:rPr>
      </w:pPr>
      <w:r w:rsidRPr="00EB6BD0">
        <w:rPr>
          <w:rFonts w:ascii="新細明體" w:eastAsia="新細明體" w:hAnsi="新細明體" w:cs="新細明體" w:hint="eastAsia"/>
          <w:lang w:val="en-HK"/>
        </w:rPr>
        <w:t>董事會謹此熱烈歡迎先機獲委任為本</w:t>
      </w:r>
      <w:r w:rsidR="007F1D3F" w:rsidRPr="007F1D3F">
        <w:rPr>
          <w:rFonts w:ascii="新細明體" w:eastAsia="新細明體" w:hAnsi="新細明體" w:cs="新細明體" w:hint="eastAsia"/>
          <w:lang w:val="en-HK"/>
        </w:rPr>
        <w:t>集團</w:t>
      </w:r>
      <w:r w:rsidRPr="00EB6BD0">
        <w:rPr>
          <w:rFonts w:ascii="新細明體" w:eastAsia="新細明體" w:hAnsi="新細明體" w:cs="新細明體" w:hint="eastAsia"/>
          <w:lang w:val="en-HK"/>
        </w:rPr>
        <w:t>核數師。</w:t>
      </w:r>
    </w:p>
    <w:p w14:paraId="1FE497C1" w14:textId="77777777" w:rsidR="000D7B9B" w:rsidRPr="000D7B9B" w:rsidRDefault="000D7B9B" w:rsidP="0001459D">
      <w:pPr>
        <w:pStyle w:val="a3"/>
        <w:spacing w:line="278" w:lineRule="auto"/>
        <w:ind w:right="119"/>
        <w:jc w:val="both"/>
        <w:rPr>
          <w:rFonts w:eastAsia="新細明體"/>
          <w:b/>
          <w:bCs/>
          <w:color w:val="231916"/>
          <w:lang w:val="en-HK"/>
        </w:rPr>
      </w:pPr>
    </w:p>
    <w:p w14:paraId="115E76EF" w14:textId="7F010CB6" w:rsidR="00DA601F" w:rsidRDefault="00EB6BD0">
      <w:pPr>
        <w:pStyle w:val="a3"/>
        <w:spacing w:line="278" w:lineRule="auto"/>
        <w:ind w:left="113" w:right="-33"/>
        <w:jc w:val="both"/>
        <w:rPr>
          <w:b/>
          <w:bCs/>
          <w:lang w:val="en-HK"/>
        </w:rPr>
      </w:pPr>
      <w:r w:rsidRPr="00EB6BD0">
        <w:rPr>
          <w:rFonts w:ascii="新細明體" w:eastAsia="新細明體" w:hAnsi="新細明體" w:cs="新細明體" w:hint="eastAsia"/>
          <w:b/>
          <w:bCs/>
          <w:lang w:val="en-HK"/>
        </w:rPr>
        <w:t>繼續暫停買賣</w:t>
      </w:r>
      <w:r w:rsidR="00974218">
        <w:rPr>
          <w:b/>
          <w:bCs/>
          <w:lang w:val="en-HK"/>
        </w:rPr>
        <w:t xml:space="preserve"> </w:t>
      </w:r>
    </w:p>
    <w:p w14:paraId="115E76F0" w14:textId="77777777" w:rsidR="00DA601F" w:rsidRDefault="00DA601F">
      <w:pPr>
        <w:pStyle w:val="a3"/>
        <w:spacing w:line="278" w:lineRule="auto"/>
        <w:ind w:left="113" w:right="-33"/>
        <w:jc w:val="both"/>
        <w:rPr>
          <w:lang w:val="en-HK"/>
        </w:rPr>
      </w:pPr>
    </w:p>
    <w:p w14:paraId="115E76F1" w14:textId="4891F3CA" w:rsidR="00DA601F" w:rsidRDefault="00EB6BD0">
      <w:pPr>
        <w:pStyle w:val="a3"/>
        <w:spacing w:line="278" w:lineRule="auto"/>
        <w:ind w:left="113" w:right="-33"/>
        <w:jc w:val="both"/>
        <w:rPr>
          <w:lang w:val="en-HK"/>
        </w:rPr>
      </w:pPr>
      <w:r w:rsidRPr="00EB6BD0">
        <w:rPr>
          <w:rFonts w:ascii="新細明體" w:eastAsia="新細明體" w:hAnsi="新細明體" w:cs="新細明體" w:hint="eastAsia"/>
          <w:lang w:val="en-HK"/>
        </w:rPr>
        <w:t>應本公司要求，本公司股份於</w:t>
      </w:r>
      <w:r w:rsidRPr="00EB6BD0">
        <w:rPr>
          <w:rFonts w:eastAsia="新細明體"/>
          <w:lang w:val="en-HK"/>
        </w:rPr>
        <w:t xml:space="preserve"> 2024 </w:t>
      </w:r>
      <w:r w:rsidRPr="00EB6BD0">
        <w:rPr>
          <w:rFonts w:ascii="新細明體" w:eastAsia="新細明體" w:hAnsi="新細明體" w:cs="新細明體" w:hint="eastAsia"/>
          <w:lang w:val="en-HK"/>
        </w:rPr>
        <w:t>年</w:t>
      </w:r>
      <w:r w:rsidRPr="00EB6BD0">
        <w:rPr>
          <w:rFonts w:eastAsia="新細明體"/>
          <w:lang w:val="en-HK"/>
        </w:rPr>
        <w:t xml:space="preserve"> 3 </w:t>
      </w:r>
      <w:r w:rsidRPr="00EB6BD0">
        <w:rPr>
          <w:rFonts w:ascii="新細明體" w:eastAsia="新細明體" w:hAnsi="新細明體" w:cs="新細明體" w:hint="eastAsia"/>
          <w:lang w:val="en-HK"/>
        </w:rPr>
        <w:t>月</w:t>
      </w:r>
      <w:r w:rsidRPr="00EB6BD0">
        <w:rPr>
          <w:rFonts w:eastAsia="新細明體"/>
          <w:lang w:val="en-HK"/>
        </w:rPr>
        <w:t xml:space="preserve"> 12 </w:t>
      </w:r>
      <w:r w:rsidRPr="00EB6BD0">
        <w:rPr>
          <w:rFonts w:ascii="新細明體" w:eastAsia="新細明體" w:hAnsi="新細明體" w:cs="新細明體" w:hint="eastAsia"/>
          <w:lang w:val="en-HK"/>
        </w:rPr>
        <w:t>日上午九時零四分起於聯交所短暫停止買賣，直</w:t>
      </w:r>
      <w:proofErr w:type="gramStart"/>
      <w:r w:rsidRPr="00EB6BD0">
        <w:rPr>
          <w:rFonts w:ascii="新細明體" w:eastAsia="新細明體" w:hAnsi="新細明體" w:cs="新細明體" w:hint="eastAsia"/>
          <w:lang w:val="en-HK"/>
        </w:rPr>
        <w:t>至刊發</w:t>
      </w:r>
      <w:proofErr w:type="gramEnd"/>
      <w:r w:rsidRPr="00EB6BD0">
        <w:rPr>
          <w:rFonts w:ascii="新細明體" w:eastAsia="新細明體" w:hAnsi="新細明體" w:cs="新細明體" w:hint="eastAsia"/>
          <w:lang w:val="en-HK"/>
        </w:rPr>
        <w:t>本公司及其附屬公司截至</w:t>
      </w:r>
      <w:r w:rsidRPr="00EB6BD0">
        <w:rPr>
          <w:rFonts w:eastAsia="新細明體"/>
          <w:lang w:val="en-HK"/>
        </w:rPr>
        <w:t xml:space="preserve"> 2023 </w:t>
      </w:r>
      <w:r w:rsidRPr="00EB6BD0">
        <w:rPr>
          <w:rFonts w:ascii="新細明體" w:eastAsia="新細明體" w:hAnsi="新細明體" w:cs="新細明體" w:hint="eastAsia"/>
          <w:lang w:val="en-HK"/>
        </w:rPr>
        <w:t>年</w:t>
      </w:r>
      <w:r w:rsidRPr="00EB6BD0">
        <w:rPr>
          <w:rFonts w:eastAsia="新細明體"/>
          <w:lang w:val="en-HK"/>
        </w:rPr>
        <w:t xml:space="preserve"> 12 </w:t>
      </w:r>
      <w:r w:rsidRPr="00EB6BD0">
        <w:rPr>
          <w:rFonts w:ascii="新細明體" w:eastAsia="新細明體" w:hAnsi="新細明體" w:cs="新細明體" w:hint="eastAsia"/>
          <w:lang w:val="en-HK"/>
        </w:rPr>
        <w:t>月</w:t>
      </w:r>
      <w:r w:rsidRPr="00EB6BD0">
        <w:rPr>
          <w:rFonts w:eastAsia="新細明體"/>
          <w:lang w:val="en-HK"/>
        </w:rPr>
        <w:t xml:space="preserve"> 31 </w:t>
      </w:r>
      <w:r w:rsidRPr="00EB6BD0">
        <w:rPr>
          <w:rFonts w:ascii="新細明體" w:eastAsia="新細明體" w:hAnsi="新細明體" w:cs="新細明體" w:hint="eastAsia"/>
          <w:lang w:val="en-HK"/>
        </w:rPr>
        <w:t>日止年度之年度業績公告。</w:t>
      </w:r>
    </w:p>
    <w:p w14:paraId="115E76F2" w14:textId="77777777" w:rsidR="00DA601F" w:rsidRDefault="00DA601F">
      <w:pPr>
        <w:pStyle w:val="a3"/>
        <w:spacing w:line="278" w:lineRule="auto"/>
        <w:ind w:left="113" w:right="-33"/>
        <w:jc w:val="both"/>
        <w:rPr>
          <w:rFonts w:eastAsia="新細明體"/>
          <w:b/>
          <w:bCs/>
          <w:color w:val="231916"/>
          <w:lang w:val="en-HK"/>
        </w:rPr>
      </w:pPr>
    </w:p>
    <w:p w14:paraId="115E76F3" w14:textId="22426B05" w:rsidR="00DA601F" w:rsidRDefault="00EB6BD0">
      <w:pPr>
        <w:pStyle w:val="a3"/>
        <w:ind w:left="4253" w:right="-33"/>
        <w:jc w:val="center"/>
        <w:rPr>
          <w:lang w:val="en-US"/>
        </w:rPr>
      </w:pPr>
      <w:r w:rsidRPr="00EB6BD0">
        <w:rPr>
          <w:rFonts w:ascii="新細明體" w:eastAsia="新細明體" w:hAnsi="新細明體" w:cs="新細明體" w:hint="eastAsia"/>
          <w:color w:val="231916"/>
          <w:lang w:val="en-US"/>
        </w:rPr>
        <w:t>承董事會命</w:t>
      </w:r>
    </w:p>
    <w:p w14:paraId="115E76F4" w14:textId="6910621A" w:rsidR="00DA601F" w:rsidRDefault="00EB6BD0">
      <w:pPr>
        <w:pStyle w:val="2"/>
        <w:spacing w:before="44" w:line="278" w:lineRule="auto"/>
        <w:ind w:left="4253" w:right="-33"/>
        <w:rPr>
          <w:rFonts w:eastAsia="新細明體"/>
          <w:color w:val="231916"/>
          <w:lang w:val="en-US"/>
        </w:rPr>
      </w:pPr>
      <w:r w:rsidRPr="00EB6BD0">
        <w:rPr>
          <w:rFonts w:eastAsia="新細明體" w:hint="eastAsia"/>
          <w:color w:val="231916"/>
          <w:lang w:val="en-US"/>
        </w:rPr>
        <w:t>富</w:t>
      </w:r>
      <w:proofErr w:type="gramStart"/>
      <w:r w:rsidRPr="00EB6BD0">
        <w:rPr>
          <w:rFonts w:eastAsia="新細明體" w:hint="eastAsia"/>
          <w:color w:val="231916"/>
          <w:lang w:val="en-US"/>
        </w:rPr>
        <w:t>匯</w:t>
      </w:r>
      <w:proofErr w:type="gramEnd"/>
      <w:r w:rsidRPr="00EB6BD0">
        <w:rPr>
          <w:rFonts w:eastAsia="新細明體" w:hint="eastAsia"/>
          <w:color w:val="231916"/>
          <w:lang w:val="en-US"/>
        </w:rPr>
        <w:t>國際集團控股有限公司</w:t>
      </w:r>
    </w:p>
    <w:p w14:paraId="115E76F5" w14:textId="34905DA2" w:rsidR="00DA601F" w:rsidRDefault="00EB6BD0">
      <w:pPr>
        <w:pStyle w:val="2"/>
        <w:spacing w:before="44" w:line="278" w:lineRule="auto"/>
        <w:ind w:left="4253" w:right="-33"/>
        <w:rPr>
          <w:rFonts w:eastAsia="新細明體"/>
          <w:color w:val="231916"/>
          <w:lang w:val="en-US"/>
        </w:rPr>
      </w:pPr>
      <w:r w:rsidRPr="00EB6BD0">
        <w:rPr>
          <w:rFonts w:eastAsia="新細明體" w:hint="eastAsia"/>
          <w:color w:val="231916"/>
          <w:lang w:val="en-US"/>
        </w:rPr>
        <w:t>劉心藝</w:t>
      </w:r>
      <w:r w:rsidR="00974218">
        <w:rPr>
          <w:rFonts w:eastAsia="新細明體"/>
          <w:color w:val="231916"/>
          <w:lang w:val="en-US"/>
        </w:rPr>
        <w:t xml:space="preserve"> </w:t>
      </w:r>
    </w:p>
    <w:p w14:paraId="115E76F6" w14:textId="2164CFB1" w:rsidR="00DA601F" w:rsidRDefault="00EB6BD0">
      <w:pPr>
        <w:pStyle w:val="2"/>
        <w:spacing w:before="44" w:line="278" w:lineRule="auto"/>
        <w:ind w:left="4253" w:right="-33"/>
        <w:rPr>
          <w:rFonts w:eastAsia="新細明體"/>
          <w:b w:val="0"/>
          <w:bCs w:val="0"/>
          <w:i/>
          <w:iCs/>
          <w:color w:val="231916"/>
          <w:lang w:val="en-US"/>
        </w:rPr>
      </w:pPr>
      <w:r w:rsidRPr="00EB6BD0">
        <w:rPr>
          <w:rFonts w:eastAsia="新細明體" w:hint="eastAsia"/>
          <w:b w:val="0"/>
          <w:bCs w:val="0"/>
          <w:i/>
          <w:iCs/>
          <w:color w:val="231916"/>
          <w:lang w:val="en-US"/>
        </w:rPr>
        <w:t>執行董事及行政總裁</w:t>
      </w:r>
    </w:p>
    <w:p w14:paraId="115E76F7" w14:textId="77777777" w:rsidR="00DA601F" w:rsidRDefault="00DA601F">
      <w:pPr>
        <w:pStyle w:val="a3"/>
        <w:spacing w:before="1"/>
        <w:ind w:left="113"/>
        <w:jc w:val="both"/>
        <w:rPr>
          <w:rFonts w:eastAsia="新細明體"/>
          <w:color w:val="231916"/>
          <w:lang w:val="en-US"/>
        </w:rPr>
      </w:pPr>
    </w:p>
    <w:p w14:paraId="115E76F8" w14:textId="77777777" w:rsidR="00DA601F" w:rsidRDefault="00DA601F">
      <w:pPr>
        <w:pStyle w:val="a3"/>
        <w:spacing w:before="1"/>
        <w:ind w:left="113"/>
        <w:jc w:val="both"/>
        <w:rPr>
          <w:rFonts w:eastAsia="新細明體"/>
          <w:color w:val="231916"/>
          <w:lang w:val="en-US"/>
        </w:rPr>
      </w:pPr>
    </w:p>
    <w:p w14:paraId="115E76F9" w14:textId="0F20501B" w:rsidR="00DA601F" w:rsidRDefault="00EB6BD0">
      <w:pPr>
        <w:pStyle w:val="a3"/>
        <w:spacing w:before="1"/>
        <w:ind w:left="113"/>
        <w:jc w:val="both"/>
        <w:rPr>
          <w:rFonts w:eastAsia="新細明體"/>
          <w:lang w:val="en-US"/>
        </w:rPr>
      </w:pPr>
      <w:r w:rsidRPr="00EB6BD0">
        <w:rPr>
          <w:rFonts w:ascii="新細明體" w:eastAsia="新細明體" w:hAnsi="新細明體" w:cs="新細明體" w:hint="eastAsia"/>
          <w:color w:val="231916"/>
          <w:lang w:val="en-US"/>
        </w:rPr>
        <w:t>香港，</w:t>
      </w:r>
      <w:r w:rsidRPr="00A75227">
        <w:rPr>
          <w:rFonts w:eastAsia="新細明體"/>
          <w:color w:val="231916"/>
          <w:lang w:val="en-US"/>
        </w:rPr>
        <w:t xml:space="preserve">2024 </w:t>
      </w:r>
      <w:r w:rsidRPr="00A75227">
        <w:rPr>
          <w:rFonts w:ascii="新細明體" w:eastAsia="新細明體" w:hAnsi="新細明體" w:cs="新細明體" w:hint="eastAsia"/>
          <w:color w:val="231916"/>
          <w:lang w:val="en-US"/>
        </w:rPr>
        <w:t>年</w:t>
      </w:r>
      <w:r w:rsidRPr="00A75227">
        <w:rPr>
          <w:rFonts w:eastAsia="新細明體"/>
          <w:color w:val="231916"/>
          <w:lang w:val="en-US"/>
        </w:rPr>
        <w:t xml:space="preserve"> 6 </w:t>
      </w:r>
      <w:r w:rsidRPr="00A75227">
        <w:rPr>
          <w:rFonts w:eastAsia="新細明體" w:hint="eastAsia"/>
          <w:color w:val="231916"/>
          <w:lang w:val="en-US"/>
        </w:rPr>
        <w:t>月</w:t>
      </w:r>
      <w:r w:rsidR="00F50E81">
        <w:rPr>
          <w:rFonts w:eastAsia="新細明體"/>
          <w:color w:val="231916"/>
          <w:lang w:val="en-US"/>
        </w:rPr>
        <w:t xml:space="preserve"> </w:t>
      </w:r>
      <w:r w:rsidR="00A75227" w:rsidRPr="00A75227">
        <w:rPr>
          <w:rFonts w:eastAsia="新細明體" w:hint="eastAsia"/>
          <w:color w:val="231916"/>
          <w:lang w:val="en-US"/>
        </w:rPr>
        <w:t>25</w:t>
      </w:r>
      <w:r w:rsidR="00F50E81">
        <w:rPr>
          <w:rFonts w:eastAsia="新細明體"/>
          <w:color w:val="231916"/>
          <w:lang w:val="en-US"/>
        </w:rPr>
        <w:t xml:space="preserve"> </w:t>
      </w:r>
      <w:r w:rsidRPr="00A75227">
        <w:rPr>
          <w:rFonts w:eastAsia="新細明體" w:hint="eastAsia"/>
          <w:color w:val="231916"/>
          <w:lang w:val="en-US"/>
        </w:rPr>
        <w:t>日</w:t>
      </w:r>
    </w:p>
    <w:p w14:paraId="115E76FA" w14:textId="77777777" w:rsidR="00DA601F" w:rsidRDefault="00DA601F">
      <w:pPr>
        <w:pStyle w:val="a3"/>
        <w:spacing w:before="7"/>
        <w:rPr>
          <w:sz w:val="31"/>
          <w:lang w:val="en-US"/>
        </w:rPr>
      </w:pPr>
    </w:p>
    <w:p w14:paraId="115E76FB" w14:textId="3B4C98E5" w:rsidR="00DA601F" w:rsidRDefault="00EB6BD0">
      <w:pPr>
        <w:spacing w:line="278" w:lineRule="auto"/>
        <w:ind w:left="113" w:right="115"/>
        <w:jc w:val="both"/>
        <w:rPr>
          <w:rFonts w:eastAsia="新細明體"/>
          <w:i/>
          <w:color w:val="231916"/>
          <w:spacing w:val="12"/>
          <w:sz w:val="24"/>
          <w:lang w:val="en-US"/>
        </w:rPr>
      </w:pPr>
      <w:r w:rsidRPr="00EB6BD0">
        <w:rPr>
          <w:rFonts w:ascii="新細明體" w:eastAsia="新細明體" w:hAnsi="新細明體" w:cs="新細明體" w:hint="eastAsia"/>
          <w:i/>
          <w:color w:val="231916"/>
          <w:spacing w:val="7"/>
          <w:sz w:val="24"/>
          <w:lang w:val="en-US"/>
        </w:rPr>
        <w:t>於本公告日期，董事會包括：</w:t>
      </w:r>
    </w:p>
    <w:p w14:paraId="115E76FC" w14:textId="77777777" w:rsidR="00DA601F" w:rsidRDefault="00DA601F">
      <w:pPr>
        <w:spacing w:line="278" w:lineRule="auto"/>
        <w:ind w:left="113" w:right="115"/>
        <w:jc w:val="both"/>
        <w:rPr>
          <w:rFonts w:eastAsia="新細明體"/>
          <w:sz w:val="24"/>
          <w:lang w:val="en-US"/>
        </w:rPr>
      </w:pPr>
    </w:p>
    <w:tbl>
      <w:tblPr>
        <w:tblStyle w:val="a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8"/>
      </w:tblGrid>
      <w:tr w:rsidR="00DA601F" w14:paraId="115E7700" w14:textId="77777777">
        <w:tc>
          <w:tcPr>
            <w:tcW w:w="4973" w:type="dxa"/>
          </w:tcPr>
          <w:p w14:paraId="115E76FD" w14:textId="04925F23" w:rsidR="00DA601F" w:rsidRDefault="00EB6BD0">
            <w:pPr>
              <w:spacing w:line="278" w:lineRule="auto"/>
              <w:ind w:right="115"/>
              <w:jc w:val="both"/>
              <w:rPr>
                <w:rFonts w:eastAsia="新細明體"/>
                <w:i/>
                <w:color w:val="231916"/>
                <w:spacing w:val="9"/>
                <w:sz w:val="24"/>
                <w:lang w:val="en-US"/>
              </w:rPr>
            </w:pPr>
            <w:r w:rsidRPr="00EB6BD0">
              <w:rPr>
                <w:rFonts w:eastAsia="新細明體" w:hint="eastAsia"/>
                <w:i/>
                <w:color w:val="231916"/>
                <w:spacing w:val="9"/>
                <w:sz w:val="24"/>
                <w:lang w:val="en-US"/>
              </w:rPr>
              <w:t>執行董事：</w:t>
            </w:r>
          </w:p>
        </w:tc>
        <w:tc>
          <w:tcPr>
            <w:tcW w:w="4973" w:type="dxa"/>
          </w:tcPr>
          <w:p w14:paraId="115E76FE" w14:textId="7E58824D" w:rsidR="00DA601F" w:rsidRDefault="00EB6BD0">
            <w:pPr>
              <w:spacing w:line="278" w:lineRule="auto"/>
              <w:ind w:right="115"/>
              <w:jc w:val="both"/>
              <w:rPr>
                <w:rFonts w:eastAsia="新細明體"/>
                <w:i/>
                <w:color w:val="231916"/>
                <w:spacing w:val="9"/>
                <w:sz w:val="24"/>
                <w:lang w:val="en-US"/>
              </w:rPr>
            </w:pPr>
            <w:r w:rsidRPr="00EB6BD0">
              <w:rPr>
                <w:rFonts w:eastAsia="新細明體" w:hint="eastAsia"/>
                <w:iCs/>
                <w:color w:val="231916"/>
                <w:spacing w:val="9"/>
                <w:sz w:val="24"/>
                <w:lang w:val="en-US"/>
              </w:rPr>
              <w:t>劉心藝女士（行政總裁）</w:t>
            </w:r>
          </w:p>
          <w:p w14:paraId="115E76FF" w14:textId="248BB3D8" w:rsidR="00DA601F" w:rsidRDefault="00EB6BD0">
            <w:pPr>
              <w:spacing w:line="278" w:lineRule="auto"/>
              <w:ind w:right="115"/>
              <w:jc w:val="both"/>
              <w:rPr>
                <w:rFonts w:eastAsia="新細明體"/>
                <w:iCs/>
                <w:color w:val="231916"/>
                <w:spacing w:val="9"/>
                <w:sz w:val="24"/>
                <w:lang w:val="en-US"/>
              </w:rPr>
            </w:pPr>
            <w:r w:rsidRPr="00EB6BD0">
              <w:rPr>
                <w:rFonts w:eastAsia="新細明體" w:hint="eastAsia"/>
                <w:iCs/>
                <w:color w:val="231916"/>
                <w:spacing w:val="9"/>
                <w:sz w:val="24"/>
                <w:lang w:val="en-US"/>
              </w:rPr>
              <w:t>曲東玲女士</w:t>
            </w:r>
          </w:p>
        </w:tc>
      </w:tr>
      <w:tr w:rsidR="00DA601F" w14:paraId="115E7703" w14:textId="77777777">
        <w:tc>
          <w:tcPr>
            <w:tcW w:w="4973" w:type="dxa"/>
          </w:tcPr>
          <w:p w14:paraId="115E7701" w14:textId="77777777" w:rsidR="00DA601F" w:rsidRDefault="00DA601F">
            <w:pPr>
              <w:spacing w:line="278" w:lineRule="auto"/>
              <w:ind w:right="115"/>
              <w:jc w:val="both"/>
              <w:rPr>
                <w:rFonts w:eastAsia="新細明體"/>
                <w:i/>
                <w:color w:val="231916"/>
                <w:spacing w:val="9"/>
                <w:sz w:val="24"/>
                <w:lang w:val="en-US"/>
              </w:rPr>
            </w:pPr>
          </w:p>
        </w:tc>
        <w:tc>
          <w:tcPr>
            <w:tcW w:w="4973" w:type="dxa"/>
          </w:tcPr>
          <w:p w14:paraId="115E7702" w14:textId="77777777" w:rsidR="00DA601F" w:rsidRDefault="00DA601F">
            <w:pPr>
              <w:spacing w:line="278" w:lineRule="auto"/>
              <w:ind w:right="115"/>
              <w:jc w:val="both"/>
              <w:rPr>
                <w:rFonts w:eastAsia="新細明體"/>
                <w:i/>
                <w:color w:val="231916"/>
                <w:spacing w:val="9"/>
                <w:sz w:val="24"/>
                <w:lang w:val="en-US"/>
              </w:rPr>
            </w:pPr>
          </w:p>
        </w:tc>
      </w:tr>
      <w:tr w:rsidR="00DA601F" w14:paraId="115E7708" w14:textId="77777777">
        <w:tc>
          <w:tcPr>
            <w:tcW w:w="4973" w:type="dxa"/>
          </w:tcPr>
          <w:p w14:paraId="115E7704" w14:textId="1E7F204A" w:rsidR="00DA601F" w:rsidRDefault="00EB6BD0">
            <w:pPr>
              <w:spacing w:line="278" w:lineRule="auto"/>
              <w:ind w:right="115"/>
              <w:jc w:val="both"/>
              <w:rPr>
                <w:rFonts w:eastAsia="新細明體"/>
                <w:i/>
                <w:color w:val="231916"/>
                <w:spacing w:val="9"/>
                <w:sz w:val="24"/>
                <w:lang w:val="en-US"/>
              </w:rPr>
            </w:pPr>
            <w:r w:rsidRPr="00EB6BD0">
              <w:rPr>
                <w:rFonts w:eastAsia="新細明體" w:hint="eastAsia"/>
                <w:i/>
                <w:color w:val="231916"/>
                <w:spacing w:val="9"/>
                <w:sz w:val="24"/>
                <w:lang w:val="en-US"/>
              </w:rPr>
              <w:t>獨立非執行董事：</w:t>
            </w:r>
          </w:p>
        </w:tc>
        <w:tc>
          <w:tcPr>
            <w:tcW w:w="4973" w:type="dxa"/>
          </w:tcPr>
          <w:p w14:paraId="115E7705" w14:textId="0E0680EA" w:rsidR="00DA601F" w:rsidRDefault="00EB6BD0">
            <w:pPr>
              <w:spacing w:line="278" w:lineRule="auto"/>
              <w:ind w:right="115"/>
              <w:jc w:val="both"/>
              <w:rPr>
                <w:rFonts w:eastAsia="新細明體"/>
                <w:iCs/>
                <w:color w:val="231916"/>
                <w:spacing w:val="9"/>
                <w:sz w:val="24"/>
                <w:lang w:val="en-US"/>
              </w:rPr>
            </w:pPr>
            <w:r w:rsidRPr="00EB6BD0">
              <w:rPr>
                <w:rFonts w:eastAsia="新細明體" w:hint="eastAsia"/>
                <w:iCs/>
                <w:color w:val="231916"/>
                <w:spacing w:val="9"/>
                <w:sz w:val="24"/>
                <w:lang w:val="en-US"/>
              </w:rPr>
              <w:t>任悅</w:t>
            </w:r>
            <w:proofErr w:type="gramStart"/>
            <w:r w:rsidRPr="00EB6BD0">
              <w:rPr>
                <w:rFonts w:eastAsia="新細明體" w:hint="eastAsia"/>
                <w:iCs/>
                <w:color w:val="231916"/>
                <w:spacing w:val="9"/>
                <w:sz w:val="24"/>
                <w:lang w:val="en-US"/>
              </w:rPr>
              <w:t>恒</w:t>
            </w:r>
            <w:proofErr w:type="gramEnd"/>
            <w:r w:rsidRPr="00EB6BD0">
              <w:rPr>
                <w:rFonts w:eastAsia="新細明體" w:hint="eastAsia"/>
                <w:iCs/>
                <w:color w:val="231916"/>
                <w:spacing w:val="9"/>
                <w:sz w:val="24"/>
                <w:lang w:val="en-US"/>
              </w:rPr>
              <w:t>先生</w:t>
            </w:r>
          </w:p>
          <w:p w14:paraId="115E7706" w14:textId="1F561A01" w:rsidR="00DA601F" w:rsidRDefault="00EB6BD0">
            <w:pPr>
              <w:spacing w:line="278" w:lineRule="auto"/>
              <w:ind w:right="115"/>
              <w:jc w:val="both"/>
              <w:rPr>
                <w:rFonts w:eastAsia="新細明體"/>
                <w:iCs/>
                <w:color w:val="231916"/>
                <w:spacing w:val="9"/>
                <w:sz w:val="24"/>
                <w:lang w:val="en-US"/>
              </w:rPr>
            </w:pPr>
            <w:r w:rsidRPr="00EB6BD0">
              <w:rPr>
                <w:rFonts w:eastAsia="新細明體" w:hint="eastAsia"/>
                <w:iCs/>
                <w:color w:val="231916"/>
                <w:spacing w:val="9"/>
                <w:sz w:val="24"/>
                <w:lang w:val="en-US"/>
              </w:rPr>
              <w:t>王慧珉先生</w:t>
            </w:r>
          </w:p>
          <w:p w14:paraId="115E7707" w14:textId="64D27C32" w:rsidR="00DA601F" w:rsidRDefault="00EB6BD0">
            <w:pPr>
              <w:spacing w:line="278" w:lineRule="auto"/>
              <w:ind w:right="115"/>
              <w:jc w:val="both"/>
              <w:rPr>
                <w:rFonts w:eastAsia="新細明體"/>
                <w:iCs/>
                <w:color w:val="231916"/>
                <w:spacing w:val="9"/>
                <w:sz w:val="24"/>
                <w:lang w:val="en-US"/>
              </w:rPr>
            </w:pPr>
            <w:r w:rsidRPr="00EB6BD0">
              <w:rPr>
                <w:rFonts w:eastAsia="新細明體" w:hint="eastAsia"/>
                <w:iCs/>
                <w:color w:val="231916"/>
                <w:spacing w:val="9"/>
                <w:sz w:val="24"/>
                <w:lang w:val="en-US"/>
              </w:rPr>
              <w:t>許秀芬女士</w:t>
            </w:r>
          </w:p>
        </w:tc>
      </w:tr>
    </w:tbl>
    <w:p w14:paraId="115E7709" w14:textId="77777777" w:rsidR="00DA601F" w:rsidRDefault="00DA601F">
      <w:pPr>
        <w:spacing w:line="278" w:lineRule="auto"/>
        <w:ind w:left="113" w:right="115"/>
        <w:jc w:val="both"/>
        <w:rPr>
          <w:rFonts w:eastAsia="新細明體"/>
          <w:i/>
          <w:color w:val="231916"/>
          <w:spacing w:val="9"/>
          <w:sz w:val="24"/>
          <w:lang w:val="en-US"/>
        </w:rPr>
      </w:pPr>
    </w:p>
    <w:sectPr w:rsidR="00DA601F" w:rsidSect="00474084">
      <w:headerReference w:type="default" r:id="rId8"/>
      <w:footerReference w:type="default" r:id="rId9"/>
      <w:pgSz w:w="11910" w:h="16840"/>
      <w:pgMar w:top="1020" w:right="1000" w:bottom="580" w:left="1020" w:header="270"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0D3DB" w14:textId="77777777" w:rsidR="00CA2C67" w:rsidRDefault="00CA2C67">
      <w:r>
        <w:separator/>
      </w:r>
    </w:p>
  </w:endnote>
  <w:endnote w:type="continuationSeparator" w:id="0">
    <w:p w14:paraId="10DF4540" w14:textId="77777777" w:rsidR="00CA2C67" w:rsidRDefault="00CA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54963"/>
      <w:docPartObj>
        <w:docPartGallery w:val="Page Numbers (Bottom of Page)"/>
        <w:docPartUnique/>
      </w:docPartObj>
    </w:sdtPr>
    <w:sdtContent>
      <w:p w14:paraId="56418E7A" w14:textId="562CA704" w:rsidR="00032CF8" w:rsidRDefault="00032CF8">
        <w:pPr>
          <w:pStyle w:val="a8"/>
          <w:jc w:val="center"/>
        </w:pPr>
        <w:r>
          <w:fldChar w:fldCharType="begin"/>
        </w:r>
        <w:r>
          <w:instrText>PAGE   \* MERGEFORMAT</w:instrText>
        </w:r>
        <w:r>
          <w:fldChar w:fldCharType="separate"/>
        </w:r>
        <w:r w:rsidR="00EB6BD0" w:rsidRPr="00EB6BD0">
          <w:rPr>
            <w:rFonts w:eastAsia="新細明體"/>
          </w:rPr>
          <w:t>2</w:t>
        </w:r>
        <w:r>
          <w:fldChar w:fldCharType="end"/>
        </w:r>
      </w:p>
    </w:sdtContent>
  </w:sdt>
  <w:p w14:paraId="115E770E" w14:textId="77777777" w:rsidR="00DA601F" w:rsidRPr="00280963" w:rsidRDefault="00DA601F">
    <w:pPr>
      <w:pStyle w:val="a3"/>
      <w:spacing w:line="14" w:lineRule="auto"/>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EA87" w14:textId="77777777" w:rsidR="00CA2C67" w:rsidRDefault="00CA2C67">
      <w:r>
        <w:separator/>
      </w:r>
    </w:p>
  </w:footnote>
  <w:footnote w:type="continuationSeparator" w:id="0">
    <w:p w14:paraId="5E40DE74" w14:textId="77777777" w:rsidR="00CA2C67" w:rsidRDefault="00CA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770C" w14:textId="77777777" w:rsidR="00DA601F" w:rsidRDefault="00DA601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49CB4F4"/>
    <w:lvl w:ilvl="0" w:tplc="266667E4">
      <w:start w:val="1"/>
      <w:numFmt w:val="lowerLetter"/>
      <w:lvlText w:val="(%1)"/>
      <w:lvlJc w:val="left"/>
      <w:pPr>
        <w:ind w:left="593" w:hanging="480"/>
      </w:pPr>
      <w:rPr>
        <w:rFonts w:hint="default"/>
        <w:b w:val="0"/>
        <w:bCs w:val="0"/>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00000002"/>
    <w:multiLevelType w:val="hybridMultilevel"/>
    <w:tmpl w:val="49A4655C"/>
    <w:lvl w:ilvl="0" w:tplc="6A92CDEA">
      <w:start w:val="1"/>
      <w:numFmt w:val="decimal"/>
      <w:lvlText w:val="(%1)"/>
      <w:lvlJc w:val="left"/>
      <w:pPr>
        <w:ind w:left="793" w:hanging="360"/>
      </w:pPr>
      <w:rPr>
        <w:rFonts w:eastAsia="Times New Roman" w:hint="default"/>
      </w:rPr>
    </w:lvl>
    <w:lvl w:ilvl="1" w:tplc="04090019" w:tentative="1">
      <w:start w:val="1"/>
      <w:numFmt w:val="ideographTraditional"/>
      <w:lvlText w:val="%2、"/>
      <w:lvlJc w:val="left"/>
      <w:pPr>
        <w:ind w:left="1393" w:hanging="480"/>
      </w:pPr>
    </w:lvl>
    <w:lvl w:ilvl="2" w:tplc="0409001B" w:tentative="1">
      <w:start w:val="1"/>
      <w:numFmt w:val="lowerRoman"/>
      <w:lvlText w:val="%3."/>
      <w:lvlJc w:val="right"/>
      <w:pPr>
        <w:ind w:left="1873" w:hanging="480"/>
      </w:pPr>
    </w:lvl>
    <w:lvl w:ilvl="3" w:tplc="0409000F" w:tentative="1">
      <w:start w:val="1"/>
      <w:numFmt w:val="decimal"/>
      <w:lvlText w:val="%4."/>
      <w:lvlJc w:val="left"/>
      <w:pPr>
        <w:ind w:left="2353" w:hanging="480"/>
      </w:pPr>
    </w:lvl>
    <w:lvl w:ilvl="4" w:tplc="04090019" w:tentative="1">
      <w:start w:val="1"/>
      <w:numFmt w:val="ideographTraditional"/>
      <w:lvlText w:val="%5、"/>
      <w:lvlJc w:val="left"/>
      <w:pPr>
        <w:ind w:left="2833" w:hanging="480"/>
      </w:pPr>
    </w:lvl>
    <w:lvl w:ilvl="5" w:tplc="0409001B" w:tentative="1">
      <w:start w:val="1"/>
      <w:numFmt w:val="lowerRoman"/>
      <w:lvlText w:val="%6."/>
      <w:lvlJc w:val="right"/>
      <w:pPr>
        <w:ind w:left="3313" w:hanging="480"/>
      </w:pPr>
    </w:lvl>
    <w:lvl w:ilvl="6" w:tplc="0409000F" w:tentative="1">
      <w:start w:val="1"/>
      <w:numFmt w:val="decimal"/>
      <w:lvlText w:val="%7."/>
      <w:lvlJc w:val="left"/>
      <w:pPr>
        <w:ind w:left="3793" w:hanging="480"/>
      </w:pPr>
    </w:lvl>
    <w:lvl w:ilvl="7" w:tplc="04090019" w:tentative="1">
      <w:start w:val="1"/>
      <w:numFmt w:val="ideographTraditional"/>
      <w:lvlText w:val="%8、"/>
      <w:lvlJc w:val="left"/>
      <w:pPr>
        <w:ind w:left="4273" w:hanging="480"/>
      </w:pPr>
    </w:lvl>
    <w:lvl w:ilvl="8" w:tplc="0409001B" w:tentative="1">
      <w:start w:val="1"/>
      <w:numFmt w:val="lowerRoman"/>
      <w:lvlText w:val="%9."/>
      <w:lvlJc w:val="right"/>
      <w:pPr>
        <w:ind w:left="4753" w:hanging="480"/>
      </w:pPr>
    </w:lvl>
  </w:abstractNum>
  <w:abstractNum w:abstractNumId="2" w15:restartNumberingAfterBreak="0">
    <w:nsid w:val="00000003"/>
    <w:multiLevelType w:val="hybridMultilevel"/>
    <w:tmpl w:val="193A3716"/>
    <w:lvl w:ilvl="0" w:tplc="266667E4">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00000004"/>
    <w:multiLevelType w:val="hybridMultilevel"/>
    <w:tmpl w:val="487ACC76"/>
    <w:lvl w:ilvl="0" w:tplc="584A7706">
      <w:start w:val="1"/>
      <w:numFmt w:val="decimal"/>
      <w:lvlText w:val="(%1)"/>
      <w:lvlJc w:val="left"/>
      <w:pPr>
        <w:ind w:left="473" w:hanging="360"/>
      </w:pPr>
      <w:rPr>
        <w:rFonts w:hint="default"/>
        <w:b/>
        <w:bC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00000005"/>
    <w:multiLevelType w:val="hybridMultilevel"/>
    <w:tmpl w:val="6A50E1DA"/>
    <w:lvl w:ilvl="0" w:tplc="D3C60E1A">
      <w:start w:val="1"/>
      <w:numFmt w:val="upperRoman"/>
      <w:lvlText w:val="%1."/>
      <w:lvlJc w:val="left"/>
      <w:pPr>
        <w:ind w:left="833" w:hanging="720"/>
      </w:pPr>
      <w:rPr>
        <w:rFonts w:hint="default"/>
        <w:color w:val="231916"/>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2CE92D3D"/>
    <w:multiLevelType w:val="hybridMultilevel"/>
    <w:tmpl w:val="0E58983E"/>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16cid:durableId="1522157930">
    <w:abstractNumId w:val="5"/>
  </w:num>
  <w:num w:numId="2" w16cid:durableId="929586995">
    <w:abstractNumId w:val="0"/>
  </w:num>
  <w:num w:numId="3" w16cid:durableId="2075160244">
    <w:abstractNumId w:val="2"/>
  </w:num>
  <w:num w:numId="4" w16cid:durableId="787310447">
    <w:abstractNumId w:val="4"/>
  </w:num>
  <w:num w:numId="5" w16cid:durableId="871189196">
    <w:abstractNumId w:val="1"/>
  </w:num>
  <w:num w:numId="6" w16cid:durableId="1849371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1F"/>
    <w:rsid w:val="0001459D"/>
    <w:rsid w:val="00016DEC"/>
    <w:rsid w:val="00023712"/>
    <w:rsid w:val="00032CF8"/>
    <w:rsid w:val="00033D3B"/>
    <w:rsid w:val="0004489F"/>
    <w:rsid w:val="00054E18"/>
    <w:rsid w:val="0006471E"/>
    <w:rsid w:val="000B589F"/>
    <w:rsid w:val="000D7B9B"/>
    <w:rsid w:val="000F5BAD"/>
    <w:rsid w:val="000F7A30"/>
    <w:rsid w:val="00182E03"/>
    <w:rsid w:val="00183515"/>
    <w:rsid w:val="00186DC8"/>
    <w:rsid w:val="001C7AAB"/>
    <w:rsid w:val="001D1BF5"/>
    <w:rsid w:val="001D31E0"/>
    <w:rsid w:val="001E2474"/>
    <w:rsid w:val="00205A56"/>
    <w:rsid w:val="00221247"/>
    <w:rsid w:val="00227219"/>
    <w:rsid w:val="00234699"/>
    <w:rsid w:val="0025701C"/>
    <w:rsid w:val="00262568"/>
    <w:rsid w:val="00280963"/>
    <w:rsid w:val="002A0A1B"/>
    <w:rsid w:val="003308FE"/>
    <w:rsid w:val="00333AD0"/>
    <w:rsid w:val="0034413C"/>
    <w:rsid w:val="00350688"/>
    <w:rsid w:val="00381229"/>
    <w:rsid w:val="003839A6"/>
    <w:rsid w:val="003905AB"/>
    <w:rsid w:val="003C2E89"/>
    <w:rsid w:val="003C5E8E"/>
    <w:rsid w:val="003C605E"/>
    <w:rsid w:val="00412FCF"/>
    <w:rsid w:val="00421664"/>
    <w:rsid w:val="00427FFB"/>
    <w:rsid w:val="00446E16"/>
    <w:rsid w:val="00455A4B"/>
    <w:rsid w:val="004611A2"/>
    <w:rsid w:val="00474084"/>
    <w:rsid w:val="00496568"/>
    <w:rsid w:val="004A4B60"/>
    <w:rsid w:val="004E02D3"/>
    <w:rsid w:val="00574A09"/>
    <w:rsid w:val="005F5670"/>
    <w:rsid w:val="005F66E4"/>
    <w:rsid w:val="00637B94"/>
    <w:rsid w:val="00644307"/>
    <w:rsid w:val="00671B09"/>
    <w:rsid w:val="006802D7"/>
    <w:rsid w:val="006901BE"/>
    <w:rsid w:val="006B51CC"/>
    <w:rsid w:val="006D11FF"/>
    <w:rsid w:val="006D1307"/>
    <w:rsid w:val="006D6612"/>
    <w:rsid w:val="00702112"/>
    <w:rsid w:val="0075714A"/>
    <w:rsid w:val="00791225"/>
    <w:rsid w:val="007B00A7"/>
    <w:rsid w:val="007B77F3"/>
    <w:rsid w:val="007F1D3F"/>
    <w:rsid w:val="007F727E"/>
    <w:rsid w:val="00801446"/>
    <w:rsid w:val="00817048"/>
    <w:rsid w:val="00866ABC"/>
    <w:rsid w:val="008767A3"/>
    <w:rsid w:val="00885D61"/>
    <w:rsid w:val="008A3489"/>
    <w:rsid w:val="008B028B"/>
    <w:rsid w:val="008C11F7"/>
    <w:rsid w:val="008E3DD6"/>
    <w:rsid w:val="0096690F"/>
    <w:rsid w:val="00972300"/>
    <w:rsid w:val="00974218"/>
    <w:rsid w:val="0099596C"/>
    <w:rsid w:val="009C3A3B"/>
    <w:rsid w:val="009D1CDD"/>
    <w:rsid w:val="009D248F"/>
    <w:rsid w:val="009F6DC4"/>
    <w:rsid w:val="00A10D6C"/>
    <w:rsid w:val="00A26641"/>
    <w:rsid w:val="00A26CE6"/>
    <w:rsid w:val="00A31FE4"/>
    <w:rsid w:val="00A64F82"/>
    <w:rsid w:val="00A7433E"/>
    <w:rsid w:val="00A75227"/>
    <w:rsid w:val="00A75A94"/>
    <w:rsid w:val="00A7798E"/>
    <w:rsid w:val="00AA5647"/>
    <w:rsid w:val="00AE2654"/>
    <w:rsid w:val="00B02D09"/>
    <w:rsid w:val="00B03649"/>
    <w:rsid w:val="00BB37B8"/>
    <w:rsid w:val="00BD4ACA"/>
    <w:rsid w:val="00BF21FD"/>
    <w:rsid w:val="00C01B72"/>
    <w:rsid w:val="00C10C0D"/>
    <w:rsid w:val="00C16B25"/>
    <w:rsid w:val="00C400DB"/>
    <w:rsid w:val="00C47A69"/>
    <w:rsid w:val="00C544C7"/>
    <w:rsid w:val="00C63EF7"/>
    <w:rsid w:val="00C75F90"/>
    <w:rsid w:val="00C80DAB"/>
    <w:rsid w:val="00CA2C67"/>
    <w:rsid w:val="00CC4685"/>
    <w:rsid w:val="00CD15FB"/>
    <w:rsid w:val="00CF7D3C"/>
    <w:rsid w:val="00D06383"/>
    <w:rsid w:val="00D21C80"/>
    <w:rsid w:val="00D21D4E"/>
    <w:rsid w:val="00D24D2C"/>
    <w:rsid w:val="00D37681"/>
    <w:rsid w:val="00D54792"/>
    <w:rsid w:val="00DA601F"/>
    <w:rsid w:val="00DB2422"/>
    <w:rsid w:val="00DF0EAA"/>
    <w:rsid w:val="00DF6B66"/>
    <w:rsid w:val="00E23743"/>
    <w:rsid w:val="00E630E2"/>
    <w:rsid w:val="00E636B2"/>
    <w:rsid w:val="00EB0E49"/>
    <w:rsid w:val="00EB5691"/>
    <w:rsid w:val="00EB6BD0"/>
    <w:rsid w:val="00EC5B49"/>
    <w:rsid w:val="00EE15CF"/>
    <w:rsid w:val="00F05481"/>
    <w:rsid w:val="00F11982"/>
    <w:rsid w:val="00F42143"/>
    <w:rsid w:val="00F50E81"/>
    <w:rsid w:val="00F55B97"/>
    <w:rsid w:val="00F6772B"/>
    <w:rsid w:val="00F73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E76DB"/>
  <w15:docId w15:val="{5C8F586B-CB39-4E9F-9BCD-D766A22A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zh-TW" w:eastAsia="zh-TW" w:bidi="zh-TW"/>
    </w:rPr>
  </w:style>
  <w:style w:type="paragraph" w:styleId="1">
    <w:name w:val="heading 1"/>
    <w:basedOn w:val="a"/>
    <w:uiPriority w:val="9"/>
    <w:qFormat/>
    <w:pPr>
      <w:spacing w:line="326" w:lineRule="exact"/>
      <w:ind w:left="425" w:right="444"/>
      <w:jc w:val="center"/>
      <w:outlineLvl w:val="0"/>
    </w:pPr>
    <w:rPr>
      <w:b/>
      <w:bCs/>
      <w:sz w:val="32"/>
      <w:szCs w:val="32"/>
    </w:rPr>
  </w:style>
  <w:style w:type="paragraph" w:styleId="2">
    <w:name w:val="heading 2"/>
    <w:basedOn w:val="a"/>
    <w:uiPriority w:val="9"/>
    <w:unhideWhenUsed/>
    <w:qFormat/>
    <w:pPr>
      <w:spacing w:before="20"/>
      <w:ind w:left="427" w:right="444"/>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before="55"/>
      <w:ind w:left="531"/>
      <w:jc w:val="center"/>
    </w:pPr>
  </w:style>
  <w:style w:type="paragraph" w:styleId="a6">
    <w:name w:val="header"/>
    <w:basedOn w:val="a"/>
    <w:link w:val="a7"/>
    <w:uiPriority w:val="99"/>
    <w:pPr>
      <w:tabs>
        <w:tab w:val="center" w:pos="4153"/>
        <w:tab w:val="right" w:pos="8306"/>
      </w:tabs>
      <w:snapToGrid w:val="0"/>
    </w:pPr>
    <w:rPr>
      <w:sz w:val="20"/>
      <w:szCs w:val="20"/>
    </w:rPr>
  </w:style>
  <w:style w:type="character" w:customStyle="1" w:styleId="a7">
    <w:name w:val="頁首 字元"/>
    <w:basedOn w:val="a0"/>
    <w:link w:val="a6"/>
    <w:uiPriority w:val="99"/>
    <w:rPr>
      <w:rFonts w:ascii="Times New Roman" w:eastAsia="Times New Roman" w:hAnsi="Times New Roman" w:cs="Times New Roman"/>
      <w:sz w:val="20"/>
      <w:szCs w:val="20"/>
      <w:lang w:val="zh-TW" w:eastAsia="zh-TW" w:bidi="zh-TW"/>
    </w:rPr>
  </w:style>
  <w:style w:type="paragraph" w:styleId="a8">
    <w:name w:val="footer"/>
    <w:basedOn w:val="a"/>
    <w:link w:val="a9"/>
    <w:uiPriority w:val="99"/>
    <w:pPr>
      <w:tabs>
        <w:tab w:val="center" w:pos="4153"/>
        <w:tab w:val="right" w:pos="8306"/>
      </w:tabs>
      <w:snapToGrid w:val="0"/>
    </w:pPr>
    <w:rPr>
      <w:sz w:val="20"/>
      <w:szCs w:val="20"/>
    </w:rPr>
  </w:style>
  <w:style w:type="character" w:customStyle="1" w:styleId="a9">
    <w:name w:val="頁尾 字元"/>
    <w:basedOn w:val="a0"/>
    <w:link w:val="a8"/>
    <w:uiPriority w:val="99"/>
    <w:rPr>
      <w:rFonts w:ascii="Times New Roman" w:eastAsia="Times New Roman" w:hAnsi="Times New Roman" w:cs="Times New Roman"/>
      <w:sz w:val="20"/>
      <w:szCs w:val="20"/>
      <w:lang w:val="zh-TW" w:eastAsia="zh-TW" w:bidi="zh-TW"/>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uiPriority w:val="99"/>
    <w:pPr>
      <w:widowControl/>
      <w:autoSpaceDE/>
      <w:autoSpaceDN/>
    </w:pPr>
    <w:rPr>
      <w:rFonts w:ascii="Times New Roman" w:eastAsia="Times New Roman" w:hAnsi="Times New Roman" w:cs="Times New Roman"/>
      <w:lang w:val="zh-TW" w:eastAsia="zh-TW" w:bidi="zh-TW"/>
    </w:rPr>
  </w:style>
  <w:style w:type="character" w:customStyle="1" w:styleId="a4">
    <w:name w:val="本文 字元"/>
    <w:basedOn w:val="a0"/>
    <w:link w:val="a3"/>
    <w:uiPriority w:val="1"/>
    <w:rPr>
      <w:rFonts w:ascii="Times New Roman" w:eastAsia="Times New Roman" w:hAnsi="Times New Roman" w:cs="Times New Roman"/>
      <w:sz w:val="24"/>
      <w:szCs w:val="24"/>
      <w:lang w:val="zh-TW" w:eastAsia="zh-TW" w:bidi="zh-TW"/>
    </w:rPr>
  </w:style>
  <w:style w:type="paragraph" w:styleId="ac">
    <w:name w:val="Balloon Text"/>
    <w:basedOn w:val="a"/>
    <w:link w:val="ad"/>
    <w:uiPriority w:val="99"/>
    <w:semiHidden/>
    <w:unhideWhenUsed/>
    <w:rsid w:val="008A3489"/>
    <w:rPr>
      <w:rFonts w:ascii="Segoe UI" w:hAnsi="Segoe UI" w:cs="Segoe UI"/>
      <w:sz w:val="18"/>
      <w:szCs w:val="18"/>
    </w:rPr>
  </w:style>
  <w:style w:type="character" w:customStyle="1" w:styleId="ad">
    <w:name w:val="註解方塊文字 字元"/>
    <w:basedOn w:val="a0"/>
    <w:link w:val="ac"/>
    <w:uiPriority w:val="99"/>
    <w:semiHidden/>
    <w:rsid w:val="008A3489"/>
    <w:rPr>
      <w:rFonts w:ascii="Segoe UI" w:eastAsia="Times New Roman" w:hAnsi="Segoe UI" w:cs="Segoe U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Jeff Lee</cp:lastModifiedBy>
  <cp:revision>24</cp:revision>
  <dcterms:created xsi:type="dcterms:W3CDTF">2024-06-19T02:25:00Z</dcterms:created>
  <dcterms:modified xsi:type="dcterms:W3CDTF">2024-06-25T14:18:00Z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Adobe InDesign 16.4 (Windows)</vt:lpwstr>
  </property>
  <property fmtid="{D5CDD505-2E9C-101B-9397-08002B2CF9AE}" pid="4" name="LastSaved">
    <vt:filetime>2024-05-13T00:00:00Z</vt:filetime>
  </property>
  <property fmtid="{D5CDD505-2E9C-101B-9397-08002B2CF9AE}" pid="5" name="GrammarlyDocumentId">
    <vt:lpwstr>171e237bc4e73c326ab804ff15ce76dd3f49d79cf6588152c754e0cd92db8e92</vt:lpwstr>
  </property>
  <property fmtid="{D5CDD505-2E9C-101B-9397-08002B2CF9AE}" pid="6" name="ICV">
    <vt:lpwstr>950b00d407f14787983c6191edf5e720</vt:lpwstr>
  </property>
</Properties>
</file>