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A32584" w14:textId="1B94F73A" w:rsidR="00B5002D" w:rsidRPr="002F6B27" w:rsidRDefault="00106CE8">
      <w:pPr>
        <w:spacing w:before="49" w:line="198" w:lineRule="auto"/>
        <w:ind w:right="44"/>
        <w:rPr>
          <w:rFonts w:ascii="Times New Roman" w:eastAsia="SimSun" w:hAnsi="Times New Roman" w:cs="Times New Roman"/>
          <w:i/>
          <w:iCs/>
          <w:spacing w:val="5"/>
          <w:sz w:val="24"/>
          <w:szCs w:val="24"/>
        </w:rPr>
      </w:pPr>
      <w: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52F1D6F2" w14:textId="77777777" w:rsidR="00156475" w:rsidRPr="002F6B27" w:rsidRDefault="00156475">
      <w:pPr>
        <w:spacing w:before="49" w:line="198" w:lineRule="auto"/>
        <w:ind w:right="44"/>
        <w:rPr>
          <w:rFonts w:ascii="Times New Roman" w:eastAsia="SimSun" w:hAnsi="Times New Roman" w:cs="Times New Roman"/>
          <w:i/>
          <w:iCs/>
          <w:sz w:val="26"/>
          <w:szCs w:val="26"/>
        </w:rPr>
      </w:pPr>
    </w:p>
    <w:p w14:paraId="644E02B1" w14:textId="5E2CC448" w:rsidR="00B5002D" w:rsidRPr="002F6B27" w:rsidRDefault="00156475" w:rsidP="002F6B27">
      <w:pPr>
        <w:spacing w:line="423" w:lineRule="auto"/>
        <w:jc w:val="center"/>
        <w:rPr>
          <w:rFonts w:ascii="Times New Roman" w:eastAsia="SimSun" w:hAnsi="Times New Roman" w:cs="Times New Roman"/>
        </w:rPr>
      </w:pPr>
      <w:r w:rsidRPr="002F6B27">
        <w:rPr>
          <w:rFonts w:ascii="Times New Roman" w:eastAsia="SimSun" w:hAnsi="Times New Roman" w:cs="Times New Roman"/>
          <w:noProof/>
        </w:rPr>
        <w:drawing>
          <wp:inline distT="0" distB="0" distL="114300" distR="114300" wp14:anchorId="52D2E680" wp14:editId="7FE1A0FA">
            <wp:extent cx="3397250" cy="571500"/>
            <wp:effectExtent l="0" t="0" r="6350"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397250" cy="571500"/>
                    </a:xfrm>
                    <a:prstGeom prst="rect">
                      <a:avLst/>
                    </a:prstGeom>
                    <a:noFill/>
                    <a:ln>
                      <a:noFill/>
                    </a:ln>
                  </pic:spPr>
                </pic:pic>
              </a:graphicData>
            </a:graphic>
          </wp:inline>
        </w:drawing>
      </w:r>
    </w:p>
    <w:p w14:paraId="6DFA3415" w14:textId="77777777" w:rsidR="00FC7C4C" w:rsidRPr="00C04067" w:rsidRDefault="00FC7C4C" w:rsidP="00FC7C4C">
      <w:pPr>
        <w:jc w:val="center"/>
        <w:rPr>
          <w:rFonts w:ascii="Times New Roman" w:eastAsia="SimSun" w:hAnsi="Times New Roman" w:cs="Times New Roman"/>
          <w:b/>
          <w:bCs/>
          <w:sz w:val="32"/>
          <w:szCs w:val="32"/>
        </w:rPr>
      </w:pPr>
      <w:r w:rsidRPr="00C04067">
        <w:rPr>
          <w:rFonts w:ascii="Times New Roman" w:eastAsia="SimSun" w:hAnsi="Times New Roman" w:cs="Times New Roman"/>
          <w:b/>
          <w:bCs/>
          <w:sz w:val="32"/>
          <w:szCs w:val="32"/>
        </w:rPr>
        <w:t>KEYNE LTD</w:t>
      </w:r>
    </w:p>
    <w:p w14:paraId="32AD0C61" w14:textId="77777777" w:rsidR="00FC7C4C" w:rsidRPr="00C04067" w:rsidRDefault="00FC7C4C" w:rsidP="00FC7C4C">
      <w:pPr>
        <w:jc w:val="center"/>
        <w:rPr>
          <w:rFonts w:ascii="Times New Roman" w:eastAsia="SimSun" w:hAnsi="Times New Roman" w:cs="Times New Roman"/>
          <w:b/>
          <w:bCs/>
          <w:sz w:val="32"/>
          <w:szCs w:val="32"/>
        </w:rPr>
      </w:pPr>
      <w:r w:rsidRPr="00C04067">
        <w:rPr>
          <w:rFonts w:ascii="Times New Roman" w:eastAsia="SimSun" w:hAnsi="Times New Roman" w:cs="Times New Roman"/>
          <w:b/>
          <w:bCs/>
          <w:sz w:val="32"/>
          <w:szCs w:val="32"/>
        </w:rPr>
        <w:t>金奧國際股份有限公司</w:t>
      </w:r>
      <w:r w:rsidRPr="00C04067">
        <w:rPr>
          <w:rFonts w:ascii="Times New Roman" w:eastAsia="SimSun" w:hAnsi="Times New Roman" w:cs="Times New Roman"/>
          <w:b/>
          <w:bCs/>
          <w:sz w:val="32"/>
          <w:szCs w:val="32"/>
        </w:rPr>
        <w:t>*</w:t>
      </w:r>
    </w:p>
    <w:p w14:paraId="33C0BDBB" w14:textId="4FCD2549" w:rsidR="00FC7C4C" w:rsidRPr="00C04067" w:rsidRDefault="00106CE8" w:rsidP="00FC7C4C">
      <w:pPr>
        <w:jc w:val="center"/>
        <w:rPr>
          <w:rFonts w:ascii="Times New Roman" w:eastAsia="SimSun" w:hAnsi="Times New Roman" w:cs="Times New Roman"/>
          <w:sz w:val="24"/>
          <w:szCs w:val="24"/>
        </w:rPr>
      </w:pPr>
      <w:r w:rsidRPr="00C04067">
        <w:rPr>
          <w:rFonts w:ascii="Times New Roman" w:hAnsi="Times New Roman" w:cs="Times New Roman"/>
        </w:rPr>
        <w:t>(Incorporated in the Cayman Islands with limited liability)</w:t>
      </w:r>
    </w:p>
    <w:p w14:paraId="043B7645" w14:textId="182B6BFC" w:rsidR="00FC7C4C" w:rsidRPr="00C04067" w:rsidRDefault="00FC7C4C" w:rsidP="00FC7C4C">
      <w:pPr>
        <w:jc w:val="center"/>
        <w:rPr>
          <w:rFonts w:ascii="Times New Roman" w:eastAsia="新細明體" w:hAnsi="Times New Roman" w:cs="Times New Roman"/>
          <w:b/>
          <w:bCs/>
          <w:sz w:val="24"/>
          <w:szCs w:val="24"/>
        </w:rPr>
      </w:pPr>
      <w:r w:rsidRPr="00C04067">
        <w:rPr>
          <w:rFonts w:ascii="Times New Roman" w:eastAsia="SimSun" w:hAnsi="Times New Roman" w:cs="Times New Roman"/>
          <w:b/>
          <w:bCs/>
          <w:sz w:val="24"/>
          <w:szCs w:val="24"/>
        </w:rPr>
        <w:t>(</w:t>
      </w:r>
      <w:r w:rsidR="00106CE8" w:rsidRPr="00C04067">
        <w:rPr>
          <w:rFonts w:ascii="Times New Roman" w:eastAsia="新細明體" w:hAnsi="Times New Roman" w:cs="Times New Roman"/>
          <w:b/>
          <w:bCs/>
          <w:sz w:val="24"/>
          <w:szCs w:val="24"/>
        </w:rPr>
        <w:t>Stock Code</w:t>
      </w:r>
      <w:r w:rsidRPr="00C04067">
        <w:rPr>
          <w:rFonts w:ascii="Times New Roman" w:eastAsia="SimSun" w:hAnsi="Times New Roman" w:cs="Times New Roman"/>
          <w:b/>
          <w:bCs/>
          <w:sz w:val="24"/>
          <w:szCs w:val="24"/>
        </w:rPr>
        <w:t xml:space="preserve"> : 00009)</w:t>
      </w:r>
    </w:p>
    <w:p w14:paraId="64834877" w14:textId="77777777" w:rsidR="00FB5FA0" w:rsidRDefault="00FB5FA0" w:rsidP="00FC7C4C">
      <w:pPr>
        <w:jc w:val="center"/>
        <w:rPr>
          <w:rFonts w:ascii="Times New Roman" w:eastAsia="新細明體" w:hAnsi="Times New Roman" w:cs="Times New Roman"/>
          <w:b/>
          <w:bCs/>
          <w:sz w:val="24"/>
          <w:szCs w:val="24"/>
        </w:rPr>
      </w:pPr>
    </w:p>
    <w:p w14:paraId="76560E77" w14:textId="0579E9EE" w:rsidR="00106CE8" w:rsidRPr="00C04067" w:rsidRDefault="00DD4384" w:rsidP="00106CE8">
      <w:pPr>
        <w:pStyle w:val="a8"/>
        <w:widowControl w:val="0"/>
        <w:numPr>
          <w:ilvl w:val="0"/>
          <w:numId w:val="7"/>
        </w:numPr>
        <w:kinsoku/>
        <w:autoSpaceDE/>
        <w:autoSpaceDN/>
        <w:adjustRightInd/>
        <w:snapToGrid/>
        <w:ind w:leftChars="0"/>
        <w:jc w:val="center"/>
        <w:textAlignment w:val="auto"/>
        <w:rPr>
          <w:rFonts w:ascii="Times New Roman" w:eastAsia="新細明體" w:hAnsi="Times New Roman" w:cs="Times New Roman"/>
          <w:b/>
          <w:bCs/>
          <w:snapToGrid/>
          <w:color w:val="auto"/>
          <w:spacing w:val="-6"/>
          <w:kern w:val="2"/>
          <w:sz w:val="24"/>
          <w:szCs w:val="24"/>
          <w14:ligatures w14:val="standardContextual"/>
        </w:rPr>
      </w:pPr>
      <w:r>
        <w:rPr>
          <w:rFonts w:ascii="Times New Roman" w:eastAsia="新細明體" w:hAnsi="Times New Roman" w:cs="Times New Roman" w:hint="eastAsia"/>
          <w:b/>
          <w:bCs/>
          <w:snapToGrid/>
          <w:color w:val="auto"/>
          <w:spacing w:val="-6"/>
          <w:kern w:val="2"/>
          <w:sz w:val="24"/>
          <w:szCs w:val="24"/>
          <w14:ligatures w14:val="standardContextual"/>
        </w:rPr>
        <w:t>RESUMPTION GUIDANCE;</w:t>
      </w:r>
      <w:r w:rsidR="00106CE8" w:rsidRPr="00C04067">
        <w:rPr>
          <w:rFonts w:ascii="Times New Roman" w:eastAsia="新細明體" w:hAnsi="Times New Roman" w:cs="Times New Roman"/>
          <w:b/>
          <w:bCs/>
          <w:snapToGrid/>
          <w:color w:val="auto"/>
          <w:spacing w:val="-6"/>
          <w:kern w:val="2"/>
          <w:sz w:val="24"/>
          <w:szCs w:val="24"/>
          <w14:ligatures w14:val="standardContextual"/>
        </w:rPr>
        <w:t xml:space="preserve"> </w:t>
      </w:r>
    </w:p>
    <w:p w14:paraId="7C180F5B" w14:textId="607CFB04" w:rsidR="00D82AE8" w:rsidRPr="00C04067" w:rsidRDefault="00DD4384" w:rsidP="00106CE8">
      <w:pPr>
        <w:widowControl w:val="0"/>
        <w:kinsoku/>
        <w:autoSpaceDE/>
        <w:autoSpaceDN/>
        <w:adjustRightInd/>
        <w:snapToGrid/>
        <w:jc w:val="center"/>
        <w:textAlignment w:val="auto"/>
        <w:rPr>
          <w:rFonts w:ascii="Times New Roman" w:eastAsia="新細明體" w:hAnsi="Times New Roman" w:cs="Times New Roman"/>
          <w:b/>
          <w:bCs/>
          <w:snapToGrid/>
          <w:color w:val="auto"/>
          <w:spacing w:val="-6"/>
          <w:kern w:val="2"/>
          <w:sz w:val="24"/>
          <w:szCs w:val="24"/>
          <w14:ligatures w14:val="standardContextual"/>
        </w:rPr>
      </w:pPr>
      <w:r>
        <w:rPr>
          <w:rFonts w:ascii="Times New Roman" w:eastAsia="新細明體" w:hAnsi="Times New Roman" w:cs="Times New Roman" w:hint="eastAsia"/>
          <w:b/>
          <w:bCs/>
          <w:snapToGrid/>
          <w:color w:val="auto"/>
          <w:spacing w:val="-6"/>
          <w:kern w:val="2"/>
          <w:sz w:val="24"/>
          <w:szCs w:val="24"/>
          <w14:ligatures w14:val="standardContextual"/>
        </w:rPr>
        <w:t>(2) QUARTERLY UPDATE ON RESUMPTION PROGRESS; AND</w:t>
      </w:r>
    </w:p>
    <w:p w14:paraId="2B8F6980" w14:textId="08B97CD4" w:rsidR="00977D99" w:rsidRPr="00C04067" w:rsidRDefault="00D82AE8" w:rsidP="00D82AE8">
      <w:pPr>
        <w:widowControl w:val="0"/>
        <w:kinsoku/>
        <w:autoSpaceDE/>
        <w:autoSpaceDN/>
        <w:adjustRightInd/>
        <w:snapToGrid/>
        <w:jc w:val="center"/>
        <w:textAlignment w:val="auto"/>
        <w:rPr>
          <w:rFonts w:ascii="Times New Roman" w:eastAsia="新細明體" w:hAnsi="Times New Roman" w:cs="Times New Roman"/>
          <w:b/>
          <w:bCs/>
          <w:snapToGrid/>
          <w:color w:val="auto"/>
          <w:spacing w:val="-6"/>
          <w:kern w:val="2"/>
          <w:sz w:val="24"/>
          <w:szCs w:val="24"/>
          <w14:ligatures w14:val="standardContextual"/>
        </w:rPr>
      </w:pPr>
      <w:r w:rsidRPr="00C04067">
        <w:rPr>
          <w:rFonts w:ascii="Times New Roman" w:eastAsiaTheme="minorEastAsia" w:hAnsi="Times New Roman" w:cs="Times New Roman"/>
          <w:b/>
          <w:bCs/>
          <w:snapToGrid/>
          <w:color w:val="auto"/>
          <w:spacing w:val="-6"/>
          <w:kern w:val="2"/>
          <w:sz w:val="24"/>
          <w:szCs w:val="24"/>
          <w14:ligatures w14:val="standardContextual"/>
        </w:rPr>
        <w:t>(3)</w:t>
      </w:r>
      <w:r w:rsidR="00DD4384">
        <w:rPr>
          <w:rFonts w:ascii="Times New Roman" w:eastAsia="新細明體" w:hAnsi="Times New Roman" w:cs="Times New Roman" w:hint="eastAsia"/>
          <w:b/>
          <w:bCs/>
          <w:snapToGrid/>
          <w:color w:val="auto"/>
          <w:spacing w:val="-6"/>
          <w:kern w:val="2"/>
          <w:sz w:val="24"/>
          <w:szCs w:val="24"/>
          <w14:ligatures w14:val="standardContextual"/>
        </w:rPr>
        <w:t xml:space="preserve"> </w:t>
      </w:r>
      <w:r w:rsidR="00106CE8" w:rsidRPr="00C04067">
        <w:rPr>
          <w:rFonts w:ascii="Times New Roman" w:eastAsia="新細明體" w:hAnsi="Times New Roman" w:cs="Times New Roman"/>
          <w:b/>
          <w:bCs/>
          <w:snapToGrid/>
          <w:color w:val="auto"/>
          <w:spacing w:val="-6"/>
          <w:kern w:val="2"/>
          <w:sz w:val="24"/>
          <w:szCs w:val="24"/>
          <w14:ligatures w14:val="standardContextual"/>
        </w:rPr>
        <w:t>CONTINUED SUSPECTION OF TRADING</w:t>
      </w:r>
    </w:p>
    <w:p w14:paraId="2A3839AE" w14:textId="77777777" w:rsidR="00BA2A5A" w:rsidRPr="00C04067" w:rsidRDefault="00BA2A5A" w:rsidP="002F6B27">
      <w:pPr>
        <w:spacing w:before="130" w:line="190" w:lineRule="auto"/>
        <w:jc w:val="center"/>
        <w:rPr>
          <w:rFonts w:ascii="Times New Roman" w:eastAsia="新細明體" w:hAnsi="Times New Roman" w:cs="Times New Roman"/>
          <w:b/>
          <w:bCs/>
          <w:sz w:val="28"/>
          <w:szCs w:val="28"/>
        </w:rPr>
      </w:pPr>
    </w:p>
    <w:p w14:paraId="19736206" w14:textId="7FC28016" w:rsidR="00977D99" w:rsidRPr="009B5217" w:rsidRDefault="00B54FAA" w:rsidP="009B5217">
      <w:pPr>
        <w:jc w:val="both"/>
        <w:rPr>
          <w:rFonts w:ascii="Times New Roman" w:eastAsia="新細明體" w:hAnsi="Times New Roman" w:cs="Times New Roman"/>
          <w:sz w:val="24"/>
          <w:szCs w:val="24"/>
        </w:rPr>
      </w:pPr>
      <w:r w:rsidRPr="009B5217">
        <w:rPr>
          <w:rFonts w:ascii="Times New Roman" w:eastAsia="新細明體" w:hAnsi="Times New Roman" w:cs="Times New Roman"/>
          <w:sz w:val="24"/>
          <w:szCs w:val="24"/>
        </w:rPr>
        <w:t>This announcement is made by the board (the “Board”) of directors (the “Directors”) of KEYNE LTD (the “Company”, together with its subsidiaries, the “Group”)</w:t>
      </w:r>
      <w:r w:rsidR="00DD4384" w:rsidRPr="009B5217">
        <w:rPr>
          <w:rFonts w:ascii="Times New Roman" w:eastAsia="新細明體" w:hAnsi="Times New Roman" w:cs="Times New Roman"/>
          <w:sz w:val="24"/>
          <w:szCs w:val="24"/>
        </w:rPr>
        <w:t xml:space="preserve"> pursuant to Rules 13.09 and 13.24A of the Rules Governing the Listing of Securities (the “Listing Rules”) on The Stock Exchange of Hong Kong Limited (the “Stock Exchange”) and the Inside Information Provisions (as defined in the Listing Rules) under Part XIVA of the Securities and Futures Ordinance (Chapter 571 of the Laws of Hong Kong).</w:t>
      </w:r>
    </w:p>
    <w:p w14:paraId="0BC76DB0" w14:textId="77777777" w:rsidR="00977D99" w:rsidRPr="00C04067" w:rsidRDefault="00977D99" w:rsidP="00D77FBD">
      <w:pPr>
        <w:widowControl w:val="0"/>
        <w:kinsoku/>
        <w:autoSpaceDE/>
        <w:autoSpaceDN/>
        <w:adjustRightInd/>
        <w:snapToGrid/>
        <w:jc w:val="both"/>
        <w:textAlignment w:val="auto"/>
        <w:rPr>
          <w:rFonts w:ascii="Times New Roman" w:eastAsiaTheme="minorEastAsia" w:hAnsi="Times New Roman" w:cs="Times New Roman"/>
          <w:snapToGrid/>
          <w:color w:val="auto"/>
          <w:kern w:val="2"/>
          <w:sz w:val="24"/>
          <w:szCs w:val="22"/>
          <w14:ligatures w14:val="standardContextual"/>
        </w:rPr>
      </w:pPr>
    </w:p>
    <w:p w14:paraId="173D6640" w14:textId="5DB7D18F" w:rsidR="00D82AE8" w:rsidRDefault="00DC34ED" w:rsidP="00D82AE8">
      <w:pPr>
        <w:widowControl w:val="0"/>
        <w:kinsoku/>
        <w:autoSpaceDE/>
        <w:autoSpaceDN/>
        <w:adjustRightInd/>
        <w:snapToGrid/>
        <w:textAlignment w:val="auto"/>
        <w:rPr>
          <w:rFonts w:ascii="Times New Roman" w:eastAsia="新細明體" w:hAnsi="Times New Roman" w:cs="Times New Roman"/>
          <w:b/>
          <w:bCs/>
          <w:snapToGrid/>
          <w:color w:val="auto"/>
          <w:spacing w:val="-6"/>
          <w:kern w:val="2"/>
          <w:sz w:val="24"/>
          <w:szCs w:val="24"/>
          <w14:ligatures w14:val="standardContextual"/>
        </w:rPr>
      </w:pPr>
      <w:r>
        <w:rPr>
          <w:rFonts w:ascii="Times New Roman" w:eastAsia="新細明體" w:hAnsi="Times New Roman" w:cs="Times New Roman" w:hint="eastAsia"/>
          <w:b/>
          <w:bCs/>
          <w:snapToGrid/>
          <w:color w:val="auto"/>
          <w:spacing w:val="-6"/>
          <w:kern w:val="2"/>
          <w:sz w:val="24"/>
          <w:szCs w:val="24"/>
          <w14:ligatures w14:val="standardContextual"/>
        </w:rPr>
        <w:t>RESUMPTION GUIDANCE</w:t>
      </w:r>
    </w:p>
    <w:p w14:paraId="49979AB9" w14:textId="77777777" w:rsidR="00DC34ED" w:rsidRDefault="00DC34ED" w:rsidP="00D82AE8">
      <w:pPr>
        <w:widowControl w:val="0"/>
        <w:kinsoku/>
        <w:autoSpaceDE/>
        <w:autoSpaceDN/>
        <w:adjustRightInd/>
        <w:snapToGrid/>
        <w:textAlignment w:val="auto"/>
        <w:rPr>
          <w:rFonts w:ascii="Times New Roman" w:eastAsia="新細明體" w:hAnsi="Times New Roman" w:cs="Times New Roman"/>
          <w:b/>
          <w:bCs/>
          <w:snapToGrid/>
          <w:color w:val="auto"/>
          <w:spacing w:val="-6"/>
          <w:kern w:val="2"/>
          <w:sz w:val="24"/>
          <w:szCs w:val="24"/>
          <w14:ligatures w14:val="standardContextual"/>
        </w:rPr>
      </w:pPr>
    </w:p>
    <w:p w14:paraId="1A1B663D" w14:textId="3A1F895A" w:rsidR="00DC34ED" w:rsidRDefault="00DC34ED" w:rsidP="00D82AE8">
      <w:pPr>
        <w:widowControl w:val="0"/>
        <w:kinsoku/>
        <w:autoSpaceDE/>
        <w:autoSpaceDN/>
        <w:adjustRightInd/>
        <w:snapToGrid/>
        <w:textAlignment w:val="auto"/>
        <w:rPr>
          <w:rFonts w:ascii="Times New Roman" w:eastAsia="新細明體" w:hAnsi="Times New Roman" w:cs="Times New Roman"/>
          <w:snapToGrid/>
          <w:color w:val="auto"/>
          <w:spacing w:val="-6"/>
          <w:kern w:val="2"/>
          <w:sz w:val="24"/>
          <w:szCs w:val="24"/>
          <w14:ligatures w14:val="standardContextual"/>
        </w:rPr>
      </w:pPr>
      <w:r>
        <w:rPr>
          <w:rFonts w:ascii="Times New Roman" w:eastAsia="新細明體" w:hAnsi="Times New Roman" w:cs="Times New Roman" w:hint="eastAsia"/>
          <w:snapToGrid/>
          <w:color w:val="auto"/>
          <w:spacing w:val="-6"/>
          <w:kern w:val="2"/>
          <w:sz w:val="24"/>
          <w:szCs w:val="24"/>
          <w14:ligatures w14:val="standardContextual"/>
        </w:rPr>
        <w:t xml:space="preserve">On 26 June 2024, the Company received the following resumption guidance (the </w:t>
      </w:r>
      <w:r w:rsidRPr="00DC34ED">
        <w:rPr>
          <w:rFonts w:ascii="Times New Roman" w:eastAsia="新細明體" w:hAnsi="Times New Roman" w:cs="Times New Roman"/>
          <w:b/>
          <w:bCs/>
          <w:snapToGrid/>
          <w:color w:val="auto"/>
          <w:spacing w:val="-6"/>
          <w:kern w:val="2"/>
          <w:sz w:val="24"/>
          <w:szCs w:val="24"/>
          <w14:ligatures w14:val="standardContextual"/>
        </w:rPr>
        <w:t>“</w:t>
      </w:r>
      <w:r w:rsidRPr="00DC34ED">
        <w:rPr>
          <w:rFonts w:ascii="Times New Roman" w:eastAsia="新細明體" w:hAnsi="Times New Roman" w:cs="Times New Roman" w:hint="eastAsia"/>
          <w:b/>
          <w:bCs/>
          <w:snapToGrid/>
          <w:color w:val="auto"/>
          <w:spacing w:val="-6"/>
          <w:kern w:val="2"/>
          <w:sz w:val="24"/>
          <w:szCs w:val="24"/>
          <w14:ligatures w14:val="standardContextual"/>
        </w:rPr>
        <w:t>Resumption Guidance</w:t>
      </w:r>
      <w:r w:rsidRPr="00DC34ED">
        <w:rPr>
          <w:rFonts w:ascii="Times New Roman" w:eastAsia="新細明體" w:hAnsi="Times New Roman" w:cs="Times New Roman"/>
          <w:b/>
          <w:bCs/>
          <w:snapToGrid/>
          <w:color w:val="auto"/>
          <w:spacing w:val="-6"/>
          <w:kern w:val="2"/>
          <w:sz w:val="24"/>
          <w:szCs w:val="24"/>
          <w14:ligatures w14:val="standardContextual"/>
        </w:rPr>
        <w:t>”</w:t>
      </w:r>
      <w:r>
        <w:rPr>
          <w:rFonts w:ascii="Times New Roman" w:eastAsia="新細明體" w:hAnsi="Times New Roman" w:cs="Times New Roman" w:hint="eastAsia"/>
          <w:snapToGrid/>
          <w:color w:val="auto"/>
          <w:spacing w:val="-6"/>
          <w:kern w:val="2"/>
          <w:sz w:val="24"/>
          <w:szCs w:val="24"/>
          <w14:ligatures w14:val="standardContextual"/>
        </w:rPr>
        <w:t>) from the Stock Exchnage:</w:t>
      </w:r>
    </w:p>
    <w:p w14:paraId="7DE56DDF" w14:textId="77777777" w:rsidR="00DC34ED" w:rsidRDefault="00DC34ED" w:rsidP="00D82AE8">
      <w:pPr>
        <w:widowControl w:val="0"/>
        <w:kinsoku/>
        <w:autoSpaceDE/>
        <w:autoSpaceDN/>
        <w:adjustRightInd/>
        <w:snapToGrid/>
        <w:textAlignment w:val="auto"/>
        <w:rPr>
          <w:rFonts w:ascii="Times New Roman" w:eastAsia="新細明體" w:hAnsi="Times New Roman" w:cs="Times New Roman"/>
          <w:snapToGrid/>
          <w:color w:val="auto"/>
          <w:spacing w:val="-6"/>
          <w:kern w:val="2"/>
          <w:sz w:val="24"/>
          <w:szCs w:val="24"/>
          <w14:ligatures w14:val="standardContextual"/>
        </w:rPr>
      </w:pPr>
    </w:p>
    <w:p w14:paraId="55A085C4" w14:textId="77777777" w:rsidR="00DC34ED" w:rsidRDefault="00DC34ED" w:rsidP="00DC34ED">
      <w:pPr>
        <w:pStyle w:val="a8"/>
        <w:widowControl w:val="0"/>
        <w:numPr>
          <w:ilvl w:val="0"/>
          <w:numId w:val="8"/>
        </w:numPr>
        <w:kinsoku/>
        <w:autoSpaceDE/>
        <w:autoSpaceDN/>
        <w:adjustRightInd/>
        <w:snapToGrid/>
        <w:ind w:leftChars="0"/>
        <w:textAlignment w:val="auto"/>
        <w:rPr>
          <w:rFonts w:ascii="Times New Roman" w:eastAsia="新細明體" w:hAnsi="Times New Roman" w:cs="Times New Roman"/>
          <w:snapToGrid/>
          <w:color w:val="auto"/>
          <w:kern w:val="2"/>
          <w:sz w:val="24"/>
          <w:szCs w:val="22"/>
          <w14:ligatures w14:val="standardContextual"/>
        </w:rPr>
      </w:pPr>
      <w:r w:rsidRPr="00DC34ED">
        <w:rPr>
          <w:rFonts w:ascii="Times New Roman" w:eastAsia="新細明體" w:hAnsi="Times New Roman" w:cs="Times New Roman"/>
          <w:snapToGrid/>
          <w:color w:val="auto"/>
          <w:kern w:val="2"/>
          <w:sz w:val="24"/>
          <w:szCs w:val="22"/>
          <w14:ligatures w14:val="standardContextual"/>
        </w:rPr>
        <w:t xml:space="preserve">publish all outstanding financial results required under the Listing Rules and address any audit modifications; </w:t>
      </w:r>
    </w:p>
    <w:p w14:paraId="0B527BFB" w14:textId="77777777" w:rsidR="00DC34ED" w:rsidRDefault="00DC34ED" w:rsidP="00DC34ED">
      <w:pPr>
        <w:pStyle w:val="a8"/>
        <w:widowControl w:val="0"/>
        <w:kinsoku/>
        <w:autoSpaceDE/>
        <w:autoSpaceDN/>
        <w:adjustRightInd/>
        <w:snapToGrid/>
        <w:ind w:leftChars="0" w:left="720"/>
        <w:textAlignment w:val="auto"/>
        <w:rPr>
          <w:rFonts w:ascii="Times New Roman" w:eastAsia="新細明體" w:hAnsi="Times New Roman" w:cs="Times New Roman"/>
          <w:snapToGrid/>
          <w:color w:val="auto"/>
          <w:kern w:val="2"/>
          <w:sz w:val="24"/>
          <w:szCs w:val="22"/>
          <w14:ligatures w14:val="standardContextual"/>
        </w:rPr>
      </w:pPr>
    </w:p>
    <w:p w14:paraId="56C26110" w14:textId="77777777" w:rsidR="00DC34ED" w:rsidRDefault="00DC34ED" w:rsidP="00DC34ED">
      <w:pPr>
        <w:pStyle w:val="a8"/>
        <w:widowControl w:val="0"/>
        <w:numPr>
          <w:ilvl w:val="0"/>
          <w:numId w:val="8"/>
        </w:numPr>
        <w:kinsoku/>
        <w:autoSpaceDE/>
        <w:autoSpaceDN/>
        <w:adjustRightInd/>
        <w:snapToGrid/>
        <w:ind w:leftChars="0"/>
        <w:textAlignment w:val="auto"/>
        <w:rPr>
          <w:rFonts w:ascii="Times New Roman" w:eastAsia="新細明體" w:hAnsi="Times New Roman" w:cs="Times New Roman"/>
          <w:snapToGrid/>
          <w:color w:val="auto"/>
          <w:kern w:val="2"/>
          <w:sz w:val="24"/>
          <w:szCs w:val="22"/>
          <w14:ligatures w14:val="standardContextual"/>
        </w:rPr>
      </w:pPr>
      <w:r w:rsidRPr="00DC34ED">
        <w:rPr>
          <w:rFonts w:ascii="Times New Roman" w:eastAsia="新細明體" w:hAnsi="Times New Roman" w:cs="Times New Roman"/>
          <w:snapToGrid/>
          <w:color w:val="auto"/>
          <w:kern w:val="2"/>
          <w:sz w:val="24"/>
          <w:szCs w:val="22"/>
          <w14:ligatures w14:val="standardContextual"/>
        </w:rPr>
        <w:t xml:space="preserve">demonstrate the Company’s compliance with Rule 13.24 of the Listing Rules; and </w:t>
      </w:r>
    </w:p>
    <w:p w14:paraId="5E3D9B7A" w14:textId="77777777" w:rsidR="00DC34ED" w:rsidRPr="00DC34ED" w:rsidRDefault="00DC34ED" w:rsidP="00DC34ED">
      <w:pPr>
        <w:pStyle w:val="a8"/>
        <w:ind w:left="420"/>
        <w:rPr>
          <w:rFonts w:ascii="Times New Roman" w:eastAsia="新細明體" w:hAnsi="Times New Roman" w:cs="Times New Roman"/>
          <w:snapToGrid/>
          <w:color w:val="auto"/>
          <w:kern w:val="2"/>
          <w:sz w:val="24"/>
          <w:szCs w:val="22"/>
          <w14:ligatures w14:val="standardContextual"/>
        </w:rPr>
      </w:pPr>
    </w:p>
    <w:p w14:paraId="698FA4D5" w14:textId="626A412C" w:rsidR="00DC34ED" w:rsidRDefault="00DC34ED" w:rsidP="00DC34ED">
      <w:pPr>
        <w:pStyle w:val="a8"/>
        <w:widowControl w:val="0"/>
        <w:numPr>
          <w:ilvl w:val="0"/>
          <w:numId w:val="8"/>
        </w:numPr>
        <w:kinsoku/>
        <w:autoSpaceDE/>
        <w:autoSpaceDN/>
        <w:adjustRightInd/>
        <w:snapToGrid/>
        <w:ind w:leftChars="0"/>
        <w:textAlignment w:val="auto"/>
        <w:rPr>
          <w:rFonts w:ascii="Times New Roman" w:eastAsia="新細明體" w:hAnsi="Times New Roman" w:cs="Times New Roman"/>
          <w:snapToGrid/>
          <w:color w:val="auto"/>
          <w:kern w:val="2"/>
          <w:sz w:val="24"/>
          <w:szCs w:val="22"/>
          <w14:ligatures w14:val="standardContextual"/>
        </w:rPr>
      </w:pPr>
      <w:r>
        <w:rPr>
          <w:rFonts w:ascii="Times New Roman" w:eastAsia="新細明體" w:hAnsi="Times New Roman" w:cs="Times New Roman" w:hint="eastAsia"/>
          <w:snapToGrid/>
          <w:color w:val="auto"/>
          <w:kern w:val="2"/>
          <w:sz w:val="24"/>
          <w:szCs w:val="22"/>
          <w14:ligatures w14:val="standardContextual"/>
        </w:rPr>
        <w:t>i</w:t>
      </w:r>
      <w:r w:rsidRPr="00DC34ED">
        <w:rPr>
          <w:rFonts w:ascii="Times New Roman" w:eastAsia="新細明體" w:hAnsi="Times New Roman" w:cs="Times New Roman"/>
          <w:snapToGrid/>
          <w:color w:val="auto"/>
          <w:kern w:val="2"/>
          <w:sz w:val="24"/>
          <w:szCs w:val="22"/>
          <w14:ligatures w14:val="standardContextual"/>
        </w:rPr>
        <w:t>nform the market of all material information for the Company’s shareholders and other investors to appraise the Company’s position.</w:t>
      </w:r>
    </w:p>
    <w:p w14:paraId="395C2C05" w14:textId="77777777" w:rsidR="00DC34ED" w:rsidRPr="00DC34ED" w:rsidRDefault="00DC34ED" w:rsidP="00DC34ED">
      <w:pPr>
        <w:pStyle w:val="a8"/>
        <w:ind w:left="420"/>
        <w:rPr>
          <w:rFonts w:ascii="Times New Roman" w:eastAsia="新細明體" w:hAnsi="Times New Roman" w:cs="Times New Roman"/>
          <w:snapToGrid/>
          <w:color w:val="auto"/>
          <w:kern w:val="2"/>
          <w:sz w:val="24"/>
          <w:szCs w:val="22"/>
          <w14:ligatures w14:val="standardContextual"/>
        </w:rPr>
      </w:pPr>
    </w:p>
    <w:p w14:paraId="24BD0854" w14:textId="77777777" w:rsidR="00DC34ED" w:rsidRPr="00992264" w:rsidRDefault="00DC34ED" w:rsidP="00992264">
      <w:pPr>
        <w:jc w:val="both"/>
        <w:rPr>
          <w:rFonts w:ascii="Times New Roman" w:eastAsia="新細明體" w:hAnsi="Times New Roman" w:cs="Times New Roman"/>
          <w:sz w:val="24"/>
          <w:szCs w:val="24"/>
        </w:rPr>
      </w:pPr>
      <w:r w:rsidRPr="00992264">
        <w:rPr>
          <w:rFonts w:ascii="Times New Roman" w:eastAsia="新細明體" w:hAnsi="Times New Roman" w:cs="Times New Roman"/>
          <w:sz w:val="24"/>
          <w:szCs w:val="24"/>
        </w:rPr>
        <w:t>The Stock Exchange states that the Company must fulfil the Resumption Guidance, remedy the issues causing its trading suspension and fully comply with the Listing Rules to the Stock Exchange’s satisfaction before trading in its securities is allowed to resume. For this purpose, the Company has the primary responsibility to devise its action plan for resumption. The Stock Exchange further indicates that it may modify or supplement the Resumption Guidance if the Company’s situation changes.</w:t>
      </w:r>
    </w:p>
    <w:p w14:paraId="0A80F868" w14:textId="77777777" w:rsidR="00DC34ED" w:rsidRPr="00992264" w:rsidRDefault="00DC34ED" w:rsidP="00992264">
      <w:pPr>
        <w:jc w:val="both"/>
        <w:rPr>
          <w:rFonts w:ascii="Times New Roman" w:eastAsia="新細明體" w:hAnsi="Times New Roman" w:cs="Times New Roman"/>
          <w:sz w:val="24"/>
          <w:szCs w:val="24"/>
        </w:rPr>
      </w:pPr>
    </w:p>
    <w:p w14:paraId="2468BFD7" w14:textId="77777777" w:rsidR="00DC34ED" w:rsidRPr="00992264" w:rsidRDefault="00DC34ED" w:rsidP="00992264">
      <w:pPr>
        <w:jc w:val="both"/>
        <w:rPr>
          <w:rFonts w:ascii="Times New Roman" w:eastAsia="新細明體" w:hAnsi="Times New Roman" w:cs="Times New Roman"/>
          <w:sz w:val="24"/>
          <w:szCs w:val="24"/>
        </w:rPr>
      </w:pPr>
      <w:r w:rsidRPr="00992264">
        <w:rPr>
          <w:rFonts w:ascii="Times New Roman" w:eastAsia="新細明體" w:hAnsi="Times New Roman" w:cs="Times New Roman"/>
          <w:sz w:val="24"/>
          <w:szCs w:val="24"/>
        </w:rPr>
        <w:lastRenderedPageBreak/>
        <w:t xml:space="preserve">Under Rule 6.01A(1) of the Listing Rules, the Stock Exchange may cancel the listing of any securities that have been suspended from trading for a continuous period of 18 months. In the case of the Company, the 18-month period will expire on 1 October 2025. </w:t>
      </w:r>
    </w:p>
    <w:p w14:paraId="1706BD36" w14:textId="77777777" w:rsidR="00DC34ED" w:rsidRPr="00992264" w:rsidRDefault="00DC34ED" w:rsidP="00992264">
      <w:pPr>
        <w:jc w:val="both"/>
        <w:rPr>
          <w:rFonts w:ascii="Times New Roman" w:eastAsia="新細明體" w:hAnsi="Times New Roman" w:cs="Times New Roman"/>
          <w:sz w:val="24"/>
          <w:szCs w:val="24"/>
        </w:rPr>
      </w:pPr>
    </w:p>
    <w:p w14:paraId="188DCEA7" w14:textId="77777777" w:rsidR="00DC34ED" w:rsidRPr="00992264" w:rsidRDefault="00DC34ED" w:rsidP="00992264">
      <w:pPr>
        <w:jc w:val="both"/>
        <w:rPr>
          <w:rFonts w:ascii="Times New Roman" w:eastAsia="新細明體" w:hAnsi="Times New Roman" w:cs="Times New Roman"/>
          <w:sz w:val="24"/>
          <w:szCs w:val="24"/>
        </w:rPr>
      </w:pPr>
      <w:r w:rsidRPr="00992264">
        <w:rPr>
          <w:rFonts w:ascii="Times New Roman" w:eastAsia="新細明體" w:hAnsi="Times New Roman" w:cs="Times New Roman"/>
          <w:sz w:val="24"/>
          <w:szCs w:val="24"/>
        </w:rPr>
        <w:t>If the Company fails to remedy the issues causing its trading suspension, fulfil the Resumption Guidance and fully comply with the Listing Rules to the Stock Exchange’s satisfaction and resume trading in its shares by 1 October 2025, the Listing Division will recommend the Listing Committee to proceed with the cancellation of the Company’s listing. Under Rule 6.01 and Rule 6.10 of the Listing Rules, the Stock Exchange also has the right to impose a shorter specific remedial period, where appropriate.</w:t>
      </w:r>
    </w:p>
    <w:p w14:paraId="3CFA9FAA" w14:textId="77777777" w:rsidR="00DC34ED" w:rsidRDefault="00DC34ED" w:rsidP="00DC34ED">
      <w:pPr>
        <w:widowControl w:val="0"/>
        <w:kinsoku/>
        <w:autoSpaceDE/>
        <w:autoSpaceDN/>
        <w:adjustRightInd/>
        <w:snapToGrid/>
        <w:jc w:val="both"/>
        <w:textAlignment w:val="auto"/>
        <w:rPr>
          <w:rFonts w:ascii="Times New Roman" w:eastAsia="新細明體" w:hAnsi="Times New Roman" w:cs="Times New Roman"/>
        </w:rPr>
      </w:pPr>
    </w:p>
    <w:p w14:paraId="56151946" w14:textId="4932611F" w:rsidR="00E77DC7" w:rsidRDefault="00E77DC7" w:rsidP="00DC34ED">
      <w:pPr>
        <w:widowControl w:val="0"/>
        <w:kinsoku/>
        <w:autoSpaceDE/>
        <w:autoSpaceDN/>
        <w:adjustRightInd/>
        <w:snapToGrid/>
        <w:jc w:val="both"/>
        <w:textAlignment w:val="auto"/>
        <w:rPr>
          <w:rFonts w:ascii="Times New Roman" w:eastAsia="新細明體" w:hAnsi="Times New Roman" w:cs="Times New Roman"/>
        </w:rPr>
      </w:pPr>
      <w:r>
        <w:rPr>
          <w:rFonts w:ascii="Times New Roman" w:eastAsia="新細明體" w:hAnsi="Times New Roman" w:cs="Times New Roman" w:hint="eastAsia"/>
          <w:b/>
          <w:bCs/>
          <w:snapToGrid/>
          <w:color w:val="auto"/>
          <w:spacing w:val="-6"/>
          <w:kern w:val="2"/>
          <w:sz w:val="24"/>
          <w:szCs w:val="24"/>
          <w14:ligatures w14:val="standardContextual"/>
        </w:rPr>
        <w:t>QUARTERLY UPDATE ON RESUMPTION PROGRESS</w:t>
      </w:r>
    </w:p>
    <w:p w14:paraId="646748A2" w14:textId="40F2EA07" w:rsidR="00BB4348" w:rsidRPr="00E77DC7" w:rsidRDefault="00195E91" w:rsidP="00BB4348">
      <w:pPr>
        <w:widowControl w:val="0"/>
        <w:kinsoku/>
        <w:autoSpaceDE/>
        <w:autoSpaceDN/>
        <w:adjustRightInd/>
        <w:snapToGrid/>
        <w:jc w:val="both"/>
        <w:textAlignment w:val="auto"/>
        <w:rPr>
          <w:rFonts w:ascii="Times New Roman" w:eastAsia="新細明體" w:hAnsi="Times New Roman" w:cs="Times New Roman"/>
          <w:b/>
          <w:bCs/>
          <w:snapToGrid/>
          <w:color w:val="auto"/>
          <w:spacing w:val="-6"/>
          <w:kern w:val="2"/>
          <w:sz w:val="24"/>
          <w:szCs w:val="24"/>
          <w14:ligatures w14:val="standardContextual"/>
        </w:rPr>
      </w:pPr>
      <w:r>
        <w:rPr>
          <w:rFonts w:ascii="Times New Roman" w:eastAsia="新細明體" w:hAnsi="Times New Roman" w:cs="Times New Roman" w:hint="eastAsia"/>
          <w:b/>
          <w:bCs/>
          <w:snapToGrid/>
          <w:color w:val="auto"/>
          <w:kern w:val="2"/>
          <w:sz w:val="24"/>
          <w:szCs w:val="22"/>
          <w14:ligatures w14:val="standardContextual"/>
        </w:rPr>
        <w:t xml:space="preserve">Bankruptcy </w:t>
      </w:r>
      <w:r>
        <w:rPr>
          <w:rFonts w:ascii="Times New Roman" w:eastAsia="新細明體" w:hAnsi="Times New Roman" w:cs="Times New Roman"/>
          <w:b/>
          <w:bCs/>
          <w:snapToGrid/>
          <w:color w:val="auto"/>
          <w:kern w:val="2"/>
          <w:sz w:val="24"/>
          <w:szCs w:val="22"/>
          <w14:ligatures w14:val="standardContextual"/>
        </w:rPr>
        <w:t>restructuring</w:t>
      </w:r>
      <w:r>
        <w:rPr>
          <w:rFonts w:ascii="Times New Roman" w:eastAsia="新細明體" w:hAnsi="Times New Roman" w:cs="Times New Roman" w:hint="eastAsia"/>
          <w:b/>
          <w:bCs/>
          <w:snapToGrid/>
          <w:color w:val="auto"/>
          <w:kern w:val="2"/>
          <w:sz w:val="24"/>
          <w:szCs w:val="22"/>
          <w14:ligatures w14:val="standardContextual"/>
        </w:rPr>
        <w:t xml:space="preserve"> on PRC</w:t>
      </w:r>
    </w:p>
    <w:p w14:paraId="4C31DA3B" w14:textId="5CFA4A28" w:rsidR="00D82AE8" w:rsidRDefault="00BB4348" w:rsidP="00D82AE8">
      <w:pPr>
        <w:widowControl w:val="0"/>
        <w:kinsoku/>
        <w:autoSpaceDE/>
        <w:autoSpaceDN/>
        <w:adjustRightInd/>
        <w:snapToGrid/>
        <w:textAlignment w:val="auto"/>
        <w:rPr>
          <w:rFonts w:ascii="Times New Roman" w:eastAsia="新細明體" w:hAnsi="Times New Roman" w:cs="Times New Roman"/>
          <w:snapToGrid/>
          <w:color w:val="auto"/>
          <w:kern w:val="2"/>
          <w:sz w:val="24"/>
          <w:szCs w:val="22"/>
          <w14:ligatures w14:val="standardContextual"/>
        </w:rPr>
      </w:pPr>
      <w:r>
        <w:rPr>
          <w:rFonts w:ascii="Times New Roman" w:eastAsia="新細明體" w:hAnsi="Times New Roman" w:cs="Times New Roman" w:hint="eastAsia"/>
          <w:snapToGrid/>
          <w:color w:val="auto"/>
          <w:kern w:val="2"/>
          <w:sz w:val="24"/>
          <w:szCs w:val="22"/>
          <w14:ligatures w14:val="standardContextual"/>
        </w:rPr>
        <w:t xml:space="preserve">For the period from January to June 2024, the Company, </w:t>
      </w:r>
      <w:r>
        <w:rPr>
          <w:rFonts w:ascii="Times New Roman" w:eastAsia="新細明體" w:hAnsi="Times New Roman" w:cs="Times New Roman"/>
          <w:snapToGrid/>
          <w:color w:val="auto"/>
          <w:kern w:val="2"/>
          <w:sz w:val="24"/>
          <w:szCs w:val="22"/>
          <w14:ligatures w14:val="standardContextual"/>
        </w:rPr>
        <w:t>together</w:t>
      </w:r>
      <w:r>
        <w:rPr>
          <w:rFonts w:ascii="Times New Roman" w:eastAsia="新細明體" w:hAnsi="Times New Roman" w:cs="Times New Roman" w:hint="eastAsia"/>
          <w:snapToGrid/>
          <w:color w:val="auto"/>
          <w:kern w:val="2"/>
          <w:sz w:val="24"/>
          <w:szCs w:val="22"/>
          <w14:ligatures w14:val="standardContextual"/>
        </w:rPr>
        <w:t xml:space="preserve"> with its </w:t>
      </w:r>
      <w:r>
        <w:rPr>
          <w:rFonts w:ascii="Times New Roman" w:eastAsia="新細明體" w:hAnsi="Times New Roman" w:cs="Times New Roman"/>
          <w:snapToGrid/>
          <w:color w:val="auto"/>
          <w:kern w:val="2"/>
          <w:sz w:val="24"/>
          <w:szCs w:val="22"/>
          <w14:ligatures w14:val="standardContextual"/>
        </w:rPr>
        <w:t>subsidiaries</w:t>
      </w:r>
      <w:r>
        <w:rPr>
          <w:rFonts w:ascii="Times New Roman" w:eastAsia="新細明體" w:hAnsi="Times New Roman" w:cs="Times New Roman" w:hint="eastAsia"/>
          <w:snapToGrid/>
          <w:color w:val="auto"/>
          <w:kern w:val="2"/>
          <w:sz w:val="24"/>
          <w:szCs w:val="22"/>
          <w14:ligatures w14:val="standardContextual"/>
        </w:rPr>
        <w:t xml:space="preserve"> and associates, </w:t>
      </w:r>
      <w:r w:rsidR="00195E91">
        <w:rPr>
          <w:rFonts w:ascii="Times New Roman" w:eastAsia="新細明體" w:hAnsi="Times New Roman" w:cs="Times New Roman" w:hint="eastAsia"/>
          <w:snapToGrid/>
          <w:color w:val="auto"/>
          <w:kern w:val="2"/>
          <w:sz w:val="24"/>
          <w:szCs w:val="22"/>
          <w14:ligatures w14:val="standardContextual"/>
        </w:rPr>
        <w:t xml:space="preserve">processing the bankruptcy restructuring for </w:t>
      </w:r>
      <w:r w:rsidR="00195E91" w:rsidRPr="00195E91">
        <w:rPr>
          <w:rFonts w:ascii="Times New Roman" w:eastAsia="新細明體" w:hAnsi="Times New Roman" w:cs="Times New Roman"/>
          <w:snapToGrid/>
          <w:color w:val="auto"/>
          <w:kern w:val="2"/>
          <w:sz w:val="24"/>
          <w:szCs w:val="22"/>
          <w14:ligatures w14:val="standardContextual"/>
        </w:rPr>
        <w:t>Hunan Jiuhua International New City Development Construction Co., Ltd. *(</w:t>
      </w:r>
      <w:r w:rsidR="00195E91" w:rsidRPr="00195E91">
        <w:rPr>
          <w:rFonts w:ascii="Times New Roman" w:eastAsia="新細明體" w:hAnsi="Times New Roman" w:cs="Times New Roman" w:hint="eastAsia"/>
          <w:snapToGrid/>
          <w:color w:val="auto"/>
          <w:kern w:val="2"/>
          <w:sz w:val="24"/>
          <w:szCs w:val="22"/>
          <w14:ligatures w14:val="standardContextual"/>
        </w:rPr>
        <w:t>湖南九華國際新城開發建設有限公司</w:t>
      </w:r>
      <w:r w:rsidR="00195E91" w:rsidRPr="00195E91">
        <w:rPr>
          <w:rFonts w:ascii="Times New Roman" w:eastAsia="新細明體" w:hAnsi="Times New Roman" w:cs="Times New Roman"/>
          <w:snapToGrid/>
          <w:color w:val="auto"/>
          <w:kern w:val="2"/>
          <w:sz w:val="24"/>
          <w:szCs w:val="22"/>
          <w14:ligatures w14:val="standardContextual"/>
        </w:rPr>
        <w:t>) (“Hunan Jiuhua International”), an indirect wholly-owned subsidiary of the Company</w:t>
      </w:r>
      <w:r w:rsidR="00195E91" w:rsidRPr="00195E91">
        <w:rPr>
          <w:rFonts w:ascii="Times New Roman" w:eastAsia="新細明體" w:hAnsi="Times New Roman" w:cs="Times New Roman" w:hint="eastAsia"/>
          <w:snapToGrid/>
          <w:color w:val="auto"/>
          <w:kern w:val="2"/>
          <w:sz w:val="24"/>
          <w:szCs w:val="22"/>
          <w14:ligatures w14:val="standardContextual"/>
        </w:rPr>
        <w:t>.</w:t>
      </w:r>
      <w:r>
        <w:rPr>
          <w:rFonts w:ascii="Times New Roman" w:eastAsia="新細明體" w:hAnsi="Times New Roman" w:cs="Times New Roman" w:hint="eastAsia"/>
          <w:snapToGrid/>
          <w:color w:val="auto"/>
          <w:kern w:val="2"/>
          <w:sz w:val="24"/>
          <w:szCs w:val="22"/>
          <w14:ligatures w14:val="standardContextual"/>
        </w:rPr>
        <w:t xml:space="preserve"> </w:t>
      </w:r>
      <w:r w:rsidR="00195E91">
        <w:rPr>
          <w:rFonts w:ascii="Times New Roman" w:eastAsia="新細明體" w:hAnsi="Times New Roman" w:cs="Times New Roman" w:hint="eastAsia"/>
          <w:snapToGrid/>
          <w:color w:val="auto"/>
          <w:kern w:val="2"/>
          <w:sz w:val="24"/>
          <w:szCs w:val="22"/>
          <w14:ligatures w14:val="standardContextual"/>
        </w:rPr>
        <w:t>The second</w:t>
      </w:r>
      <w:r w:rsidR="003824C5">
        <w:rPr>
          <w:rFonts w:ascii="Times New Roman" w:eastAsia="新細明體" w:hAnsi="Times New Roman" w:cs="Times New Roman" w:hint="eastAsia"/>
          <w:snapToGrid/>
          <w:color w:val="auto"/>
          <w:kern w:val="2"/>
          <w:sz w:val="24"/>
          <w:szCs w:val="22"/>
          <w14:ligatures w14:val="standardContextual"/>
        </w:rPr>
        <w:t xml:space="preserve">, third and fourth </w:t>
      </w:r>
      <w:r w:rsidR="00195E91">
        <w:rPr>
          <w:rFonts w:ascii="Times New Roman" w:eastAsia="新細明體" w:hAnsi="Times New Roman" w:cs="Times New Roman" w:hint="eastAsia"/>
          <w:snapToGrid/>
          <w:color w:val="auto"/>
          <w:kern w:val="2"/>
          <w:sz w:val="24"/>
          <w:szCs w:val="22"/>
          <w14:ligatures w14:val="standardContextual"/>
        </w:rPr>
        <w:t xml:space="preserve">bankruptcy meeting were raised out at </w:t>
      </w:r>
      <w:r w:rsidR="003824C5">
        <w:rPr>
          <w:rFonts w:ascii="Times New Roman" w:eastAsia="新細明體" w:hAnsi="Times New Roman" w:cs="Times New Roman" w:hint="eastAsia"/>
          <w:snapToGrid/>
          <w:color w:val="auto"/>
          <w:kern w:val="2"/>
          <w:sz w:val="24"/>
          <w:szCs w:val="22"/>
          <w14:ligatures w14:val="standardContextual"/>
        </w:rPr>
        <w:t xml:space="preserve">Feb 2024, </w:t>
      </w:r>
      <w:r w:rsidR="00195E91">
        <w:rPr>
          <w:rFonts w:ascii="Times New Roman" w:eastAsia="新細明體" w:hAnsi="Times New Roman" w:cs="Times New Roman" w:hint="eastAsia"/>
          <w:snapToGrid/>
          <w:color w:val="auto"/>
          <w:kern w:val="2"/>
          <w:sz w:val="24"/>
          <w:szCs w:val="22"/>
          <w14:ligatures w14:val="standardContextual"/>
        </w:rPr>
        <w:t>April 2024</w:t>
      </w:r>
      <w:r w:rsidR="003824C5">
        <w:rPr>
          <w:rFonts w:ascii="Times New Roman" w:eastAsia="新細明體" w:hAnsi="Times New Roman" w:cs="Times New Roman" w:hint="eastAsia"/>
          <w:snapToGrid/>
          <w:color w:val="auto"/>
          <w:kern w:val="2"/>
          <w:sz w:val="24"/>
          <w:szCs w:val="22"/>
          <w14:ligatures w14:val="standardContextual"/>
        </w:rPr>
        <w:t xml:space="preserve"> and June 2024</w:t>
      </w:r>
      <w:r w:rsidR="00474D63">
        <w:rPr>
          <w:rFonts w:ascii="Times New Roman" w:eastAsia="新細明體" w:hAnsi="Times New Roman" w:cs="Times New Roman" w:hint="eastAsia"/>
          <w:snapToGrid/>
          <w:color w:val="auto"/>
          <w:kern w:val="2"/>
          <w:sz w:val="24"/>
          <w:szCs w:val="22"/>
          <w14:ligatures w14:val="standardContextual"/>
        </w:rPr>
        <w:t>, in order to prepare the</w:t>
      </w:r>
      <w:r w:rsidR="00195E91">
        <w:rPr>
          <w:rFonts w:ascii="Times New Roman" w:eastAsia="新細明體" w:hAnsi="Times New Roman" w:cs="Times New Roman" w:hint="eastAsia"/>
          <w:snapToGrid/>
          <w:color w:val="auto"/>
          <w:kern w:val="2"/>
          <w:sz w:val="24"/>
          <w:szCs w:val="22"/>
          <w14:ligatures w14:val="standardContextual"/>
        </w:rPr>
        <w:t xml:space="preserve"> final solution of the bankruptcy procedure</w:t>
      </w:r>
      <w:r w:rsidR="002122CC">
        <w:rPr>
          <w:rFonts w:ascii="Times New Roman" w:eastAsia="新細明體" w:hAnsi="Times New Roman" w:cs="Times New Roman" w:hint="eastAsia"/>
          <w:snapToGrid/>
          <w:color w:val="auto"/>
          <w:kern w:val="2"/>
          <w:sz w:val="24"/>
          <w:szCs w:val="22"/>
          <w14:ligatures w14:val="standardContextual"/>
        </w:rPr>
        <w:t xml:space="preserve"> on Hunan Jiuhua Internat</w:t>
      </w:r>
      <w:r w:rsidR="00103E83">
        <w:rPr>
          <w:rFonts w:ascii="Times New Roman" w:eastAsia="新細明體" w:hAnsi="Times New Roman" w:cs="Times New Roman" w:hint="eastAsia"/>
          <w:snapToGrid/>
          <w:color w:val="auto"/>
          <w:kern w:val="2"/>
          <w:sz w:val="24"/>
          <w:szCs w:val="22"/>
          <w14:ligatures w14:val="standardContextual"/>
        </w:rPr>
        <w:t>i</w:t>
      </w:r>
      <w:r w:rsidR="002122CC">
        <w:rPr>
          <w:rFonts w:ascii="Times New Roman" w:eastAsia="新細明體" w:hAnsi="Times New Roman" w:cs="Times New Roman" w:hint="eastAsia"/>
          <w:snapToGrid/>
          <w:color w:val="auto"/>
          <w:kern w:val="2"/>
          <w:sz w:val="24"/>
          <w:szCs w:val="22"/>
          <w14:ligatures w14:val="standardContextual"/>
        </w:rPr>
        <w:t>onal.</w:t>
      </w:r>
    </w:p>
    <w:p w14:paraId="140A2B1E" w14:textId="77777777" w:rsidR="002122CC" w:rsidRPr="00103E83" w:rsidRDefault="002122CC" w:rsidP="00D82AE8">
      <w:pPr>
        <w:widowControl w:val="0"/>
        <w:kinsoku/>
        <w:autoSpaceDE/>
        <w:autoSpaceDN/>
        <w:adjustRightInd/>
        <w:snapToGrid/>
        <w:textAlignment w:val="auto"/>
        <w:rPr>
          <w:rFonts w:ascii="Times New Roman" w:eastAsia="新細明體" w:hAnsi="Times New Roman" w:cs="Times New Roman"/>
          <w:snapToGrid/>
          <w:color w:val="auto"/>
          <w:kern w:val="2"/>
          <w:sz w:val="24"/>
          <w:szCs w:val="22"/>
          <w14:ligatures w14:val="standardContextual"/>
        </w:rPr>
      </w:pPr>
    </w:p>
    <w:p w14:paraId="4870994D" w14:textId="13B5D626" w:rsidR="00BB4348" w:rsidRPr="00BB4348" w:rsidRDefault="00BB4348" w:rsidP="00D82AE8">
      <w:pPr>
        <w:widowControl w:val="0"/>
        <w:kinsoku/>
        <w:autoSpaceDE/>
        <w:autoSpaceDN/>
        <w:adjustRightInd/>
        <w:snapToGrid/>
        <w:textAlignment w:val="auto"/>
        <w:rPr>
          <w:rFonts w:ascii="Times New Roman" w:eastAsia="新細明體" w:hAnsi="Times New Roman" w:cs="Times New Roman"/>
          <w:snapToGrid/>
          <w:color w:val="auto"/>
          <w:kern w:val="2"/>
          <w:sz w:val="24"/>
          <w:szCs w:val="22"/>
          <w14:ligatures w14:val="standardContextual"/>
        </w:rPr>
      </w:pPr>
      <w:r>
        <w:rPr>
          <w:rFonts w:ascii="Times New Roman" w:eastAsia="新細明體" w:hAnsi="Times New Roman" w:cs="Times New Roman" w:hint="eastAsia"/>
          <w:snapToGrid/>
          <w:color w:val="auto"/>
          <w:kern w:val="2"/>
          <w:sz w:val="24"/>
          <w:szCs w:val="22"/>
          <w14:ligatures w14:val="standardContextual"/>
        </w:rPr>
        <w:t xml:space="preserve">For details, please refer to the announcements of the Company dated 18 March 2024, 26 March 2024, and 21 June 2024. The Company will continue to focus on the completion and delivery of its </w:t>
      </w:r>
      <w:r w:rsidR="00195E91">
        <w:rPr>
          <w:rFonts w:ascii="Times New Roman" w:eastAsia="新細明體" w:hAnsi="Times New Roman" w:cs="Times New Roman" w:hint="eastAsia"/>
          <w:snapToGrid/>
          <w:color w:val="auto"/>
          <w:kern w:val="2"/>
          <w:sz w:val="24"/>
          <w:szCs w:val="22"/>
          <w14:ligatures w14:val="standardContextual"/>
        </w:rPr>
        <w:t xml:space="preserve">document supporting the direct control to the </w:t>
      </w:r>
      <w:r w:rsidR="00195E91">
        <w:rPr>
          <w:rFonts w:ascii="Times New Roman" w:eastAsia="新細明體" w:hAnsi="Times New Roman" w:cs="Times New Roman"/>
          <w:snapToGrid/>
          <w:color w:val="auto"/>
          <w:kern w:val="2"/>
          <w:sz w:val="24"/>
          <w:szCs w:val="22"/>
          <w14:ligatures w14:val="standardContextual"/>
        </w:rPr>
        <w:t>subsidiaries</w:t>
      </w:r>
      <w:r w:rsidR="00195E91">
        <w:rPr>
          <w:rFonts w:ascii="Times New Roman" w:eastAsia="新細明體" w:hAnsi="Times New Roman" w:cs="Times New Roman" w:hint="eastAsia"/>
          <w:snapToGrid/>
          <w:color w:val="auto"/>
          <w:kern w:val="2"/>
          <w:sz w:val="24"/>
          <w:szCs w:val="22"/>
          <w14:ligatures w14:val="standardContextual"/>
        </w:rPr>
        <w:t xml:space="preserve"> and</w:t>
      </w:r>
      <w:r>
        <w:rPr>
          <w:rFonts w:ascii="Times New Roman" w:eastAsia="新細明體" w:hAnsi="Times New Roman" w:cs="Times New Roman" w:hint="eastAsia"/>
          <w:snapToGrid/>
          <w:color w:val="auto"/>
          <w:kern w:val="2"/>
          <w:sz w:val="24"/>
          <w:szCs w:val="22"/>
          <w14:ligatures w14:val="standardContextual"/>
        </w:rPr>
        <w:t xml:space="preserve"> </w:t>
      </w:r>
      <w:r w:rsidR="00FD62AB">
        <w:rPr>
          <w:rFonts w:ascii="Times New Roman" w:eastAsia="新細明體" w:hAnsi="Times New Roman" w:cs="Times New Roman" w:hint="eastAsia"/>
          <w:snapToGrid/>
          <w:color w:val="auto"/>
          <w:kern w:val="2"/>
          <w:sz w:val="24"/>
          <w:szCs w:val="22"/>
          <w14:ligatures w14:val="standardContextual"/>
        </w:rPr>
        <w:t xml:space="preserve">finished </w:t>
      </w:r>
      <w:r>
        <w:rPr>
          <w:rFonts w:ascii="Times New Roman" w:eastAsia="新細明體" w:hAnsi="Times New Roman" w:cs="Times New Roman" w:hint="eastAsia"/>
          <w:snapToGrid/>
          <w:color w:val="auto"/>
          <w:kern w:val="2"/>
          <w:sz w:val="24"/>
          <w:szCs w:val="22"/>
          <w14:ligatures w14:val="standardContextual"/>
        </w:rPr>
        <w:t>audit procedure</w:t>
      </w:r>
      <w:r w:rsidR="00FD62AB">
        <w:rPr>
          <w:rFonts w:ascii="Times New Roman" w:eastAsia="新細明體" w:hAnsi="Times New Roman" w:cs="Times New Roman" w:hint="eastAsia"/>
          <w:snapToGrid/>
          <w:color w:val="auto"/>
          <w:kern w:val="2"/>
          <w:sz w:val="24"/>
          <w:szCs w:val="22"/>
          <w14:ligatures w14:val="standardContextual"/>
        </w:rPr>
        <w:t xml:space="preserve"> of Yr2023.</w:t>
      </w:r>
      <w:r w:rsidR="007D6387">
        <w:rPr>
          <w:rFonts w:ascii="Times New Roman" w:eastAsia="新細明體" w:hAnsi="Times New Roman" w:cs="Times New Roman" w:hint="eastAsia"/>
          <w:snapToGrid/>
          <w:color w:val="auto"/>
          <w:kern w:val="2"/>
          <w:sz w:val="24"/>
          <w:szCs w:val="22"/>
          <w14:ligatures w14:val="standardContextual"/>
        </w:rPr>
        <w:t xml:space="preserve"> By enhancing operation efficiency, strengthening cash flow management, and striving to optimize the asset-liability structure, the Company will ensure stable and sustainable operation of is business</w:t>
      </w:r>
      <w:r>
        <w:rPr>
          <w:rFonts w:ascii="Times New Roman" w:eastAsia="新細明體" w:hAnsi="Times New Roman" w:cs="Times New Roman" w:hint="eastAsia"/>
          <w:snapToGrid/>
          <w:color w:val="auto"/>
          <w:kern w:val="2"/>
          <w:sz w:val="24"/>
          <w:szCs w:val="22"/>
          <w14:ligatures w14:val="standardContextual"/>
        </w:rPr>
        <w:t>.</w:t>
      </w:r>
      <w:r w:rsidR="00FD62AB">
        <w:rPr>
          <w:rFonts w:ascii="Times New Roman" w:eastAsia="新細明體" w:hAnsi="Times New Roman" w:cs="Times New Roman" w:hint="eastAsia"/>
          <w:snapToGrid/>
          <w:color w:val="auto"/>
          <w:kern w:val="2"/>
          <w:sz w:val="24"/>
          <w:szCs w:val="22"/>
          <w14:ligatures w14:val="standardContextual"/>
        </w:rPr>
        <w:t xml:space="preserve"> </w:t>
      </w:r>
    </w:p>
    <w:p w14:paraId="29CC0476" w14:textId="77777777" w:rsidR="00BB4348" w:rsidRDefault="00BB4348" w:rsidP="00D82AE8">
      <w:pPr>
        <w:widowControl w:val="0"/>
        <w:kinsoku/>
        <w:autoSpaceDE/>
        <w:autoSpaceDN/>
        <w:adjustRightInd/>
        <w:snapToGrid/>
        <w:textAlignment w:val="auto"/>
        <w:rPr>
          <w:rFonts w:ascii="Times New Roman" w:eastAsia="新細明體" w:hAnsi="Times New Roman" w:cs="Times New Roman"/>
          <w:snapToGrid/>
          <w:color w:val="auto"/>
          <w:kern w:val="2"/>
          <w:sz w:val="24"/>
          <w:szCs w:val="22"/>
          <w14:ligatures w14:val="standardContextual"/>
        </w:rPr>
      </w:pPr>
    </w:p>
    <w:p w14:paraId="1BEC6396" w14:textId="1F8B6257" w:rsidR="00E21EBE" w:rsidRPr="00E9012A" w:rsidRDefault="00E21EBE" w:rsidP="00D82AE8">
      <w:pPr>
        <w:widowControl w:val="0"/>
        <w:kinsoku/>
        <w:autoSpaceDE/>
        <w:autoSpaceDN/>
        <w:adjustRightInd/>
        <w:snapToGrid/>
        <w:textAlignment w:val="auto"/>
        <w:rPr>
          <w:rFonts w:ascii="Times New Roman" w:eastAsia="新細明體" w:hAnsi="Times New Roman" w:cs="Times New Roman" w:hint="eastAsia"/>
          <w:b/>
          <w:bCs/>
          <w:snapToGrid/>
          <w:color w:val="auto"/>
          <w:kern w:val="2"/>
          <w:sz w:val="24"/>
          <w:szCs w:val="22"/>
          <w14:ligatures w14:val="standardContextual"/>
        </w:rPr>
      </w:pPr>
      <w:r w:rsidRPr="00E21EBE">
        <w:rPr>
          <w:rFonts w:ascii="Times New Roman" w:eastAsia="新細明體" w:hAnsi="Times New Roman" w:cs="Times New Roman" w:hint="eastAsia"/>
          <w:b/>
          <w:bCs/>
          <w:snapToGrid/>
          <w:color w:val="auto"/>
          <w:kern w:val="2"/>
          <w:sz w:val="24"/>
          <w:szCs w:val="22"/>
          <w14:ligatures w14:val="standardContextual"/>
        </w:rPr>
        <w:t xml:space="preserve">Update on </w:t>
      </w:r>
      <w:r w:rsidR="00E9012A">
        <w:rPr>
          <w:rFonts w:ascii="Times New Roman" w:eastAsia="新細明體" w:hAnsi="Times New Roman" w:cs="Times New Roman" w:hint="eastAsia"/>
          <w:b/>
          <w:bCs/>
          <w:snapToGrid/>
          <w:color w:val="auto"/>
          <w:kern w:val="2"/>
          <w:sz w:val="24"/>
          <w:szCs w:val="22"/>
          <w14:ligatures w14:val="standardContextual"/>
        </w:rPr>
        <w:t>fully control on (</w:t>
      </w:r>
      <w:r w:rsidR="00E9012A">
        <w:rPr>
          <w:rFonts w:ascii="Times New Roman" w:eastAsia="新細明體" w:hAnsi="Times New Roman" w:cs="Times New Roman"/>
          <w:b/>
          <w:bCs/>
          <w:snapToGrid/>
          <w:color w:val="auto"/>
          <w:kern w:val="2"/>
          <w:sz w:val="24"/>
          <w:szCs w:val="22"/>
          <w14:ligatures w14:val="standardContextual"/>
        </w:rPr>
        <w:t>“</w:t>
      </w:r>
      <w:r w:rsidR="00E9012A">
        <w:rPr>
          <w:rFonts w:ascii="Times New Roman" w:eastAsia="新細明體" w:hAnsi="Times New Roman" w:cs="Times New Roman" w:hint="eastAsia"/>
          <w:b/>
          <w:bCs/>
          <w:snapToGrid/>
          <w:color w:val="auto"/>
          <w:kern w:val="2"/>
          <w:sz w:val="24"/>
          <w:szCs w:val="22"/>
          <w14:ligatures w14:val="standardContextual"/>
        </w:rPr>
        <w:t>Hunan Jiuhua International</w:t>
      </w:r>
      <w:r w:rsidR="00E9012A">
        <w:rPr>
          <w:rFonts w:ascii="Times New Roman" w:eastAsia="新細明體" w:hAnsi="Times New Roman" w:cs="Times New Roman"/>
          <w:b/>
          <w:bCs/>
          <w:snapToGrid/>
          <w:color w:val="auto"/>
          <w:kern w:val="2"/>
          <w:sz w:val="24"/>
          <w:szCs w:val="22"/>
          <w14:ligatures w14:val="standardContextual"/>
        </w:rPr>
        <w:t>”</w:t>
      </w:r>
      <w:r w:rsidR="00E9012A">
        <w:rPr>
          <w:rFonts w:ascii="Times New Roman" w:eastAsia="新細明體" w:hAnsi="Times New Roman" w:cs="Times New Roman" w:hint="eastAsia"/>
          <w:b/>
          <w:bCs/>
          <w:snapToGrid/>
          <w:color w:val="auto"/>
          <w:kern w:val="2"/>
          <w:sz w:val="24"/>
          <w:szCs w:val="22"/>
          <w14:ligatures w14:val="standardContextual"/>
        </w:rPr>
        <w:t>) status</w:t>
      </w:r>
    </w:p>
    <w:p w14:paraId="05786BA5" w14:textId="260FBEEF" w:rsidR="00CF40F7" w:rsidRPr="00D17505" w:rsidRDefault="00CF40F7" w:rsidP="00D82AE8">
      <w:pPr>
        <w:widowControl w:val="0"/>
        <w:kinsoku/>
        <w:autoSpaceDE/>
        <w:autoSpaceDN/>
        <w:adjustRightInd/>
        <w:snapToGrid/>
        <w:textAlignment w:val="auto"/>
        <w:rPr>
          <w:rFonts w:ascii="Times New Roman" w:eastAsia="新細明體" w:hAnsi="Times New Roman" w:cs="Times New Roman"/>
          <w:snapToGrid/>
          <w:color w:val="auto"/>
          <w:kern w:val="2"/>
          <w:sz w:val="24"/>
          <w:szCs w:val="22"/>
          <w14:ligatures w14:val="standardContextual"/>
        </w:rPr>
      </w:pPr>
      <w:r>
        <w:rPr>
          <w:rFonts w:ascii="Times New Roman" w:eastAsia="新細明體" w:hAnsi="Times New Roman" w:cs="Times New Roman" w:hint="eastAsia"/>
          <w:snapToGrid/>
          <w:color w:val="auto"/>
          <w:kern w:val="2"/>
          <w:sz w:val="24"/>
          <w:szCs w:val="22"/>
          <w14:ligatures w14:val="standardContextual"/>
        </w:rPr>
        <w:t xml:space="preserve">In order to proof </w:t>
      </w:r>
      <w:r w:rsidR="000A04DF">
        <w:rPr>
          <w:rFonts w:ascii="Times New Roman" w:eastAsia="新細明體" w:hAnsi="Times New Roman" w:cs="Times New Roman" w:hint="eastAsia"/>
          <w:snapToGrid/>
          <w:color w:val="auto"/>
          <w:kern w:val="2"/>
          <w:sz w:val="24"/>
          <w:szCs w:val="22"/>
          <w14:ligatures w14:val="standardContextual"/>
        </w:rPr>
        <w:t xml:space="preserve">Hunan Jiuhua International is a major operating </w:t>
      </w:r>
      <w:r w:rsidR="000A04DF">
        <w:rPr>
          <w:rFonts w:ascii="Times New Roman" w:eastAsia="新細明體" w:hAnsi="Times New Roman" w:cs="Times New Roman"/>
          <w:snapToGrid/>
          <w:color w:val="auto"/>
          <w:kern w:val="2"/>
          <w:sz w:val="24"/>
          <w:szCs w:val="22"/>
          <w14:ligatures w14:val="standardContextual"/>
        </w:rPr>
        <w:t>subsidiary</w:t>
      </w:r>
      <w:r w:rsidR="000A04DF">
        <w:rPr>
          <w:rFonts w:ascii="Times New Roman" w:eastAsia="新細明體" w:hAnsi="Times New Roman" w:cs="Times New Roman" w:hint="eastAsia"/>
          <w:snapToGrid/>
          <w:color w:val="auto"/>
          <w:kern w:val="2"/>
          <w:sz w:val="24"/>
          <w:szCs w:val="22"/>
          <w14:ligatures w14:val="standardContextual"/>
        </w:rPr>
        <w:t xml:space="preserve"> of the Company</w:t>
      </w:r>
      <w:r w:rsidR="00276CD8">
        <w:rPr>
          <w:rFonts w:ascii="Times New Roman" w:eastAsia="新細明體" w:hAnsi="Times New Roman" w:cs="Times New Roman" w:hint="eastAsia"/>
          <w:snapToGrid/>
          <w:color w:val="auto"/>
          <w:kern w:val="2"/>
          <w:sz w:val="24"/>
          <w:szCs w:val="22"/>
          <w14:ligatures w14:val="standardContextual"/>
        </w:rPr>
        <w:t xml:space="preserve">, the </w:t>
      </w:r>
      <w:r w:rsidR="004C7C41">
        <w:rPr>
          <w:rFonts w:ascii="Times New Roman" w:eastAsia="新細明體" w:hAnsi="Times New Roman" w:cs="Times New Roman" w:hint="eastAsia"/>
          <w:snapToGrid/>
          <w:color w:val="auto"/>
          <w:kern w:val="2"/>
          <w:sz w:val="24"/>
          <w:szCs w:val="22"/>
          <w14:ligatures w14:val="standardContextual"/>
        </w:rPr>
        <w:t>second, third and fourth</w:t>
      </w:r>
      <w:r w:rsidR="00276CD8">
        <w:rPr>
          <w:rFonts w:ascii="Times New Roman" w:eastAsia="新細明體" w:hAnsi="Times New Roman" w:cs="Times New Roman" w:hint="eastAsia"/>
          <w:snapToGrid/>
          <w:color w:val="auto"/>
          <w:kern w:val="2"/>
          <w:sz w:val="24"/>
          <w:szCs w:val="22"/>
          <w14:ligatures w14:val="standardContextual"/>
        </w:rPr>
        <w:t xml:space="preserve"> meeting agenda of bankruptcy </w:t>
      </w:r>
      <w:r w:rsidR="00276CD8">
        <w:rPr>
          <w:rFonts w:ascii="Times New Roman" w:eastAsia="新細明體" w:hAnsi="Times New Roman" w:cs="Times New Roman"/>
          <w:snapToGrid/>
          <w:color w:val="auto"/>
          <w:kern w:val="2"/>
          <w:sz w:val="24"/>
          <w:szCs w:val="22"/>
          <w14:ligatures w14:val="standardContextual"/>
        </w:rPr>
        <w:t>restructur</w:t>
      </w:r>
      <w:r w:rsidR="00276CD8">
        <w:rPr>
          <w:rFonts w:ascii="Times New Roman" w:eastAsia="新細明體" w:hAnsi="Times New Roman" w:cs="Times New Roman" w:hint="eastAsia"/>
          <w:snapToGrid/>
          <w:color w:val="auto"/>
          <w:kern w:val="2"/>
          <w:sz w:val="24"/>
          <w:szCs w:val="22"/>
          <w14:ligatures w14:val="standardContextual"/>
        </w:rPr>
        <w:t xml:space="preserve">e </w:t>
      </w:r>
      <w:r w:rsidR="004C7C41">
        <w:rPr>
          <w:rFonts w:ascii="Times New Roman" w:eastAsia="新細明體" w:hAnsi="Times New Roman" w:cs="Times New Roman" w:hint="eastAsia"/>
          <w:snapToGrid/>
          <w:color w:val="auto"/>
          <w:kern w:val="2"/>
          <w:sz w:val="24"/>
          <w:szCs w:val="22"/>
          <w14:ligatures w14:val="standardContextual"/>
        </w:rPr>
        <w:t>are</w:t>
      </w:r>
      <w:r w:rsidR="00276CD8">
        <w:rPr>
          <w:rFonts w:ascii="Times New Roman" w:eastAsia="新細明體" w:hAnsi="Times New Roman" w:cs="Times New Roman" w:hint="eastAsia"/>
          <w:snapToGrid/>
          <w:color w:val="auto"/>
          <w:kern w:val="2"/>
          <w:sz w:val="24"/>
          <w:szCs w:val="22"/>
          <w14:ligatures w14:val="standardContextual"/>
        </w:rPr>
        <w:t xml:space="preserve"> provided</w:t>
      </w:r>
      <w:r w:rsidR="004C7C41">
        <w:rPr>
          <w:rFonts w:ascii="Times New Roman" w:eastAsia="新細明體" w:hAnsi="Times New Roman" w:cs="Times New Roman" w:hint="eastAsia"/>
          <w:snapToGrid/>
          <w:color w:val="auto"/>
          <w:kern w:val="2"/>
          <w:sz w:val="24"/>
          <w:szCs w:val="22"/>
          <w14:ligatures w14:val="standardContextual"/>
        </w:rPr>
        <w:t xml:space="preserve"> to the auditor</w:t>
      </w:r>
      <w:r w:rsidR="00276CD8">
        <w:rPr>
          <w:rFonts w:ascii="Times New Roman" w:eastAsia="新細明體" w:hAnsi="Times New Roman" w:cs="Times New Roman" w:hint="eastAsia"/>
          <w:snapToGrid/>
          <w:color w:val="auto"/>
          <w:kern w:val="2"/>
          <w:sz w:val="24"/>
          <w:szCs w:val="22"/>
          <w14:ligatures w14:val="standardContextual"/>
        </w:rPr>
        <w:t>.</w:t>
      </w:r>
      <w:r w:rsidR="00463223" w:rsidRPr="00463223">
        <w:t xml:space="preserve"> </w:t>
      </w:r>
      <w:r w:rsidR="00463223">
        <w:t>In t</w:t>
      </w:r>
      <w:r w:rsidR="00463223" w:rsidRPr="00463223">
        <w:rPr>
          <w:rFonts w:ascii="Times New Roman" w:eastAsia="新細明體" w:hAnsi="Times New Roman" w:cs="Times New Roman"/>
          <w:snapToGrid/>
          <w:color w:val="auto"/>
          <w:kern w:val="2"/>
          <w:sz w:val="24"/>
          <w:szCs w:val="22"/>
          <w14:ligatures w14:val="standardContextual"/>
        </w:rPr>
        <w:t xml:space="preserve">he past few months, the Company and </w:t>
      </w:r>
      <w:r w:rsidR="00463223">
        <w:rPr>
          <w:rFonts w:ascii="Times New Roman" w:eastAsia="新細明體" w:hAnsi="Times New Roman" w:cs="Times New Roman" w:hint="eastAsia"/>
          <w:snapToGrid/>
          <w:color w:val="auto"/>
          <w:kern w:val="2"/>
          <w:sz w:val="24"/>
          <w:szCs w:val="22"/>
          <w14:ligatures w14:val="standardContextual"/>
        </w:rPr>
        <w:t>the auditor</w:t>
      </w:r>
      <w:r w:rsidR="00463223" w:rsidRPr="00463223">
        <w:rPr>
          <w:rFonts w:ascii="Times New Roman" w:eastAsia="新細明體" w:hAnsi="Times New Roman" w:cs="Times New Roman"/>
          <w:snapToGrid/>
          <w:color w:val="auto"/>
          <w:kern w:val="2"/>
          <w:sz w:val="24"/>
          <w:szCs w:val="22"/>
          <w14:ligatures w14:val="standardContextual"/>
        </w:rPr>
        <w:t xml:space="preserve"> have been working closely in order to provide a common information platform for </w:t>
      </w:r>
      <w:r w:rsidR="00463223">
        <w:rPr>
          <w:rFonts w:ascii="Times New Roman" w:eastAsia="新細明體" w:hAnsi="Times New Roman" w:cs="Times New Roman" w:hint="eastAsia"/>
          <w:snapToGrid/>
          <w:color w:val="auto"/>
          <w:kern w:val="2"/>
          <w:sz w:val="24"/>
          <w:szCs w:val="22"/>
          <w14:ligatures w14:val="standardContextual"/>
        </w:rPr>
        <w:t>auditor</w:t>
      </w:r>
      <w:r w:rsidR="00463223" w:rsidRPr="00463223">
        <w:rPr>
          <w:rFonts w:ascii="Times New Roman" w:eastAsia="新細明體" w:hAnsi="Times New Roman" w:cs="Times New Roman"/>
          <w:snapToGrid/>
          <w:color w:val="auto"/>
          <w:kern w:val="2"/>
          <w:sz w:val="24"/>
          <w:szCs w:val="22"/>
          <w14:ligatures w14:val="standardContextual"/>
        </w:rPr>
        <w:t xml:space="preserve"> that help</w:t>
      </w:r>
      <w:r w:rsidR="00AC74E3">
        <w:rPr>
          <w:rFonts w:ascii="Times New Roman" w:eastAsia="新細明體" w:hAnsi="Times New Roman" w:cs="Times New Roman" w:hint="eastAsia"/>
          <w:snapToGrid/>
          <w:color w:val="auto"/>
          <w:kern w:val="2"/>
          <w:sz w:val="24"/>
          <w:szCs w:val="22"/>
          <w14:ligatures w14:val="standardContextual"/>
        </w:rPr>
        <w:t xml:space="preserve"> them</w:t>
      </w:r>
      <w:r w:rsidR="00463223" w:rsidRPr="00463223">
        <w:rPr>
          <w:rFonts w:ascii="Times New Roman" w:eastAsia="新細明體" w:hAnsi="Times New Roman" w:cs="Times New Roman"/>
          <w:snapToGrid/>
          <w:color w:val="auto"/>
          <w:kern w:val="2"/>
          <w:sz w:val="24"/>
          <w:szCs w:val="22"/>
          <w14:ligatures w14:val="standardContextual"/>
        </w:rPr>
        <w:t xml:space="preserve"> to make better rational judgement on reviewing the Company’s operation</w:t>
      </w:r>
      <w:r w:rsidR="00AC74E3">
        <w:rPr>
          <w:rFonts w:ascii="Times New Roman" w:eastAsia="新細明體" w:hAnsi="Times New Roman" w:cs="Times New Roman" w:hint="eastAsia"/>
          <w:snapToGrid/>
          <w:color w:val="auto"/>
          <w:kern w:val="2"/>
          <w:sz w:val="24"/>
          <w:szCs w:val="22"/>
          <w14:ligatures w14:val="standardContextual"/>
        </w:rPr>
        <w:t xml:space="preserve">, and to proof the direct relationship between the Company and the </w:t>
      </w:r>
      <w:r w:rsidR="00AC74E3">
        <w:rPr>
          <w:rFonts w:ascii="Times New Roman" w:eastAsia="新細明體" w:hAnsi="Times New Roman" w:cs="Times New Roman"/>
          <w:snapToGrid/>
          <w:color w:val="auto"/>
          <w:kern w:val="2"/>
          <w:sz w:val="24"/>
          <w:szCs w:val="22"/>
          <w14:ligatures w14:val="standardContextual"/>
        </w:rPr>
        <w:t>subsidiaries</w:t>
      </w:r>
      <w:r w:rsidR="00AC74E3">
        <w:rPr>
          <w:rFonts w:ascii="Times New Roman" w:eastAsia="新細明體" w:hAnsi="Times New Roman" w:cs="Times New Roman" w:hint="eastAsia"/>
          <w:snapToGrid/>
          <w:color w:val="auto"/>
          <w:kern w:val="2"/>
          <w:sz w:val="24"/>
          <w:szCs w:val="22"/>
          <w14:ligatures w14:val="standardContextual"/>
        </w:rPr>
        <w:t>.</w:t>
      </w:r>
    </w:p>
    <w:p w14:paraId="2DBDF1B9" w14:textId="77777777" w:rsidR="00E21EBE" w:rsidRDefault="00E21EBE" w:rsidP="00D82AE8">
      <w:pPr>
        <w:widowControl w:val="0"/>
        <w:kinsoku/>
        <w:autoSpaceDE/>
        <w:autoSpaceDN/>
        <w:adjustRightInd/>
        <w:snapToGrid/>
        <w:textAlignment w:val="auto"/>
        <w:rPr>
          <w:rFonts w:ascii="Times New Roman" w:eastAsia="新細明體" w:hAnsi="Times New Roman" w:cs="Times New Roman"/>
          <w:b/>
          <w:bCs/>
          <w:snapToGrid/>
          <w:color w:val="auto"/>
          <w:kern w:val="2"/>
          <w:sz w:val="24"/>
          <w:szCs w:val="22"/>
          <w14:ligatures w14:val="standardContextual"/>
        </w:rPr>
      </w:pPr>
    </w:p>
    <w:p w14:paraId="6F3AC5BB" w14:textId="4B878C69" w:rsidR="00E21EBE" w:rsidRPr="00E21EBE" w:rsidRDefault="00E21EBE" w:rsidP="00D82AE8">
      <w:pPr>
        <w:widowControl w:val="0"/>
        <w:kinsoku/>
        <w:autoSpaceDE/>
        <w:autoSpaceDN/>
        <w:adjustRightInd/>
        <w:snapToGrid/>
        <w:textAlignment w:val="auto"/>
        <w:rPr>
          <w:rFonts w:ascii="Times New Roman" w:eastAsia="新細明體" w:hAnsi="Times New Roman" w:cs="Times New Roman"/>
          <w:b/>
          <w:bCs/>
          <w:snapToGrid/>
          <w:color w:val="auto"/>
          <w:kern w:val="2"/>
          <w:sz w:val="24"/>
          <w:szCs w:val="22"/>
          <w14:ligatures w14:val="standardContextual"/>
        </w:rPr>
      </w:pPr>
      <w:r>
        <w:rPr>
          <w:rFonts w:ascii="Times New Roman" w:eastAsia="新細明體" w:hAnsi="Times New Roman" w:cs="Times New Roman" w:hint="eastAsia"/>
          <w:b/>
          <w:bCs/>
          <w:snapToGrid/>
          <w:color w:val="auto"/>
          <w:kern w:val="2"/>
          <w:sz w:val="24"/>
          <w:szCs w:val="22"/>
          <w14:ligatures w14:val="standardContextual"/>
        </w:rPr>
        <w:t>Update on the dispute of audit fee repayment schedule between the Company and the auditor</w:t>
      </w:r>
    </w:p>
    <w:p w14:paraId="4409BBD5" w14:textId="791C0042" w:rsidR="00014CBD" w:rsidRPr="00CF40F7" w:rsidRDefault="00D17505" w:rsidP="00D82AE8">
      <w:pPr>
        <w:widowControl w:val="0"/>
        <w:kinsoku/>
        <w:autoSpaceDE/>
        <w:autoSpaceDN/>
        <w:adjustRightInd/>
        <w:snapToGrid/>
        <w:textAlignment w:val="auto"/>
        <w:rPr>
          <w:rFonts w:ascii="Times New Roman" w:eastAsia="新細明體" w:hAnsi="Times New Roman" w:cs="Times New Roman"/>
          <w:snapToGrid/>
          <w:color w:val="auto"/>
          <w:kern w:val="2"/>
          <w:sz w:val="24"/>
          <w:szCs w:val="22"/>
          <w14:ligatures w14:val="standardContextual"/>
        </w:rPr>
      </w:pPr>
      <w:r w:rsidRPr="00D17505">
        <w:rPr>
          <w:rFonts w:ascii="Times New Roman" w:eastAsia="新細明體" w:hAnsi="Times New Roman" w:cs="Times New Roman"/>
          <w:snapToGrid/>
          <w:color w:val="auto"/>
          <w:kern w:val="2"/>
          <w:sz w:val="24"/>
          <w:szCs w:val="22"/>
          <w14:ligatures w14:val="standardContextual"/>
        </w:rPr>
        <w:t xml:space="preserve">The Company remains committed in running a professional, efficient, transparent and fair process, as well as maintaining continuous communication with the </w:t>
      </w:r>
      <w:r>
        <w:rPr>
          <w:rFonts w:ascii="Times New Roman" w:eastAsia="新細明體" w:hAnsi="Times New Roman" w:cs="Times New Roman" w:hint="eastAsia"/>
          <w:snapToGrid/>
          <w:color w:val="auto"/>
          <w:kern w:val="2"/>
          <w:sz w:val="24"/>
          <w:szCs w:val="22"/>
          <w14:ligatures w14:val="standardContextual"/>
        </w:rPr>
        <w:t>auditors</w:t>
      </w:r>
      <w:r w:rsidRPr="00D17505">
        <w:rPr>
          <w:rFonts w:ascii="Times New Roman" w:eastAsia="新細明體" w:hAnsi="Times New Roman" w:cs="Times New Roman"/>
          <w:snapToGrid/>
          <w:color w:val="auto"/>
          <w:kern w:val="2"/>
          <w:sz w:val="24"/>
          <w:szCs w:val="22"/>
          <w14:ligatures w14:val="standardContextual"/>
        </w:rPr>
        <w:t>.</w:t>
      </w:r>
      <w:r w:rsidR="00276B96">
        <w:rPr>
          <w:rFonts w:ascii="Times New Roman" w:eastAsia="新細明體" w:hAnsi="Times New Roman" w:cs="Times New Roman" w:hint="eastAsia"/>
          <w:snapToGrid/>
          <w:color w:val="auto"/>
          <w:kern w:val="2"/>
          <w:sz w:val="24"/>
          <w:szCs w:val="22"/>
          <w14:ligatures w14:val="standardContextual"/>
        </w:rPr>
        <w:t xml:space="preserve"> However, the auditor insisted to pay all outstanding audit fee at once. T</w:t>
      </w:r>
      <w:r w:rsidR="00276B96">
        <w:rPr>
          <w:rFonts w:ascii="Times New Roman" w:eastAsia="新細明體" w:hAnsi="Times New Roman" w:cs="Times New Roman"/>
          <w:snapToGrid/>
          <w:color w:val="auto"/>
          <w:kern w:val="2"/>
          <w:sz w:val="24"/>
          <w:szCs w:val="22"/>
          <w14:ligatures w14:val="standardContextual"/>
        </w:rPr>
        <w:t>h</w:t>
      </w:r>
      <w:r w:rsidR="00276B96">
        <w:rPr>
          <w:rFonts w:ascii="Times New Roman" w:eastAsia="新細明體" w:hAnsi="Times New Roman" w:cs="Times New Roman" w:hint="eastAsia"/>
          <w:snapToGrid/>
          <w:color w:val="auto"/>
          <w:kern w:val="2"/>
          <w:sz w:val="24"/>
          <w:szCs w:val="22"/>
          <w14:ligatures w14:val="standardContextual"/>
        </w:rPr>
        <w:t xml:space="preserve">is could far beyond the ability of payment of </w:t>
      </w:r>
      <w:r w:rsidR="00323CDC">
        <w:rPr>
          <w:rFonts w:ascii="Times New Roman" w:eastAsia="新細明體" w:hAnsi="Times New Roman" w:cs="Times New Roman" w:hint="eastAsia"/>
          <w:snapToGrid/>
          <w:color w:val="auto"/>
          <w:kern w:val="2"/>
          <w:sz w:val="24"/>
          <w:szCs w:val="22"/>
          <w14:ligatures w14:val="standardContextual"/>
        </w:rPr>
        <w:t>the Company.</w:t>
      </w:r>
      <w:r w:rsidR="009F3220">
        <w:rPr>
          <w:rFonts w:ascii="Times New Roman" w:eastAsia="新細明體" w:hAnsi="Times New Roman" w:cs="Times New Roman" w:hint="eastAsia"/>
          <w:snapToGrid/>
          <w:color w:val="auto"/>
          <w:kern w:val="2"/>
          <w:sz w:val="24"/>
          <w:szCs w:val="22"/>
          <w14:ligatures w14:val="standardContextual"/>
        </w:rPr>
        <w:t xml:space="preserve"> As at the date of </w:t>
      </w:r>
      <w:r w:rsidR="009F3220">
        <w:rPr>
          <w:rFonts w:ascii="Times New Roman" w:eastAsia="新細明體" w:hAnsi="Times New Roman" w:cs="Times New Roman"/>
          <w:snapToGrid/>
          <w:color w:val="auto"/>
          <w:kern w:val="2"/>
          <w:sz w:val="24"/>
          <w:szCs w:val="22"/>
          <w14:ligatures w14:val="standardContextual"/>
        </w:rPr>
        <w:t>announcement</w:t>
      </w:r>
      <w:r w:rsidR="009F3220">
        <w:rPr>
          <w:rFonts w:ascii="Times New Roman" w:eastAsia="新細明體" w:hAnsi="Times New Roman" w:cs="Times New Roman" w:hint="eastAsia"/>
          <w:snapToGrid/>
          <w:color w:val="auto"/>
          <w:kern w:val="2"/>
          <w:sz w:val="24"/>
          <w:szCs w:val="22"/>
          <w14:ligatures w14:val="standardContextual"/>
        </w:rPr>
        <w:t>, the</w:t>
      </w:r>
      <w:r w:rsidR="00364A6A">
        <w:rPr>
          <w:rFonts w:ascii="Times New Roman" w:eastAsia="新細明體" w:hAnsi="Times New Roman" w:cs="Times New Roman" w:hint="eastAsia"/>
          <w:snapToGrid/>
          <w:color w:val="auto"/>
          <w:kern w:val="2"/>
          <w:sz w:val="24"/>
          <w:szCs w:val="22"/>
          <w14:ligatures w14:val="standardContextual"/>
        </w:rPr>
        <w:t xml:space="preserve">re </w:t>
      </w:r>
      <w:r w:rsidR="009F3220">
        <w:rPr>
          <w:rFonts w:ascii="Times New Roman" w:eastAsia="新細明體" w:hAnsi="Times New Roman" w:cs="Times New Roman" w:hint="eastAsia"/>
          <w:snapToGrid/>
          <w:color w:val="auto"/>
          <w:kern w:val="2"/>
          <w:sz w:val="24"/>
          <w:szCs w:val="22"/>
          <w14:ligatures w14:val="standardContextual"/>
        </w:rPr>
        <w:t>are still not yet resolved</w:t>
      </w:r>
      <w:r w:rsidR="00CF40F7">
        <w:rPr>
          <w:rFonts w:ascii="Times New Roman" w:eastAsia="新細明體" w:hAnsi="Times New Roman" w:cs="Times New Roman" w:hint="eastAsia"/>
          <w:snapToGrid/>
          <w:color w:val="auto"/>
          <w:kern w:val="2"/>
          <w:sz w:val="24"/>
          <w:szCs w:val="22"/>
          <w14:ligatures w14:val="standardContextual"/>
        </w:rPr>
        <w:t xml:space="preserve">. The valuation process was temporary stopped </w:t>
      </w:r>
      <w:r w:rsidR="00CF40F7">
        <w:rPr>
          <w:rFonts w:ascii="Times New Roman" w:eastAsia="新細明體" w:hAnsi="Times New Roman" w:cs="Times New Roman"/>
          <w:snapToGrid/>
          <w:color w:val="auto"/>
          <w:kern w:val="2"/>
          <w:sz w:val="24"/>
          <w:szCs w:val="22"/>
          <w14:ligatures w14:val="standardContextual"/>
        </w:rPr>
        <w:t>because</w:t>
      </w:r>
      <w:r w:rsidR="00CF40F7">
        <w:rPr>
          <w:rFonts w:ascii="Times New Roman" w:eastAsia="新細明體" w:hAnsi="Times New Roman" w:cs="Times New Roman" w:hint="eastAsia"/>
          <w:snapToGrid/>
          <w:color w:val="auto"/>
          <w:kern w:val="2"/>
          <w:sz w:val="24"/>
          <w:szCs w:val="22"/>
          <w14:ligatures w14:val="standardContextual"/>
        </w:rPr>
        <w:t xml:space="preserve"> </w:t>
      </w:r>
      <w:r w:rsidR="00207538">
        <w:rPr>
          <w:rFonts w:ascii="Times New Roman" w:eastAsia="新細明體" w:hAnsi="Times New Roman" w:cs="Times New Roman"/>
          <w:snapToGrid/>
          <w:color w:val="auto"/>
          <w:kern w:val="2"/>
          <w:sz w:val="24"/>
          <w:szCs w:val="22"/>
          <w14:ligatures w14:val="standardContextual"/>
        </w:rPr>
        <w:t>the</w:t>
      </w:r>
      <w:r w:rsidR="00207538">
        <w:rPr>
          <w:rFonts w:ascii="Times New Roman" w:eastAsia="新細明體" w:hAnsi="Times New Roman" w:cs="Times New Roman" w:hint="eastAsia"/>
          <w:snapToGrid/>
          <w:color w:val="auto"/>
          <w:kern w:val="2"/>
          <w:sz w:val="24"/>
          <w:szCs w:val="22"/>
          <w14:ligatures w14:val="standardContextual"/>
        </w:rPr>
        <w:t xml:space="preserve"> </w:t>
      </w:r>
      <w:r w:rsidR="00207538">
        <w:rPr>
          <w:rFonts w:ascii="Times New Roman" w:eastAsia="新細明體" w:hAnsi="Times New Roman" w:cs="Times New Roman"/>
          <w:snapToGrid/>
          <w:color w:val="auto"/>
          <w:kern w:val="2"/>
          <w:sz w:val="24"/>
          <w:szCs w:val="22"/>
          <w14:ligatures w14:val="standardContextual"/>
        </w:rPr>
        <w:t>valuation</w:t>
      </w:r>
      <w:r w:rsidR="00207538">
        <w:rPr>
          <w:rFonts w:ascii="Times New Roman" w:eastAsia="新細明體" w:hAnsi="Times New Roman" w:cs="Times New Roman" w:hint="eastAsia"/>
          <w:snapToGrid/>
          <w:color w:val="auto"/>
          <w:kern w:val="2"/>
          <w:sz w:val="24"/>
          <w:szCs w:val="22"/>
          <w14:ligatures w14:val="standardContextual"/>
        </w:rPr>
        <w:t xml:space="preserve"> fee </w:t>
      </w:r>
      <w:r w:rsidR="00BE68C8">
        <w:rPr>
          <w:rFonts w:ascii="Times New Roman" w:eastAsia="新細明體" w:hAnsi="Times New Roman" w:cs="Times New Roman" w:hint="eastAsia"/>
          <w:snapToGrid/>
          <w:color w:val="auto"/>
          <w:kern w:val="2"/>
          <w:sz w:val="24"/>
          <w:szCs w:val="22"/>
          <w14:ligatures w14:val="standardContextual"/>
        </w:rPr>
        <w:t xml:space="preserve">disputed </w:t>
      </w:r>
      <w:r w:rsidR="00207538">
        <w:rPr>
          <w:rFonts w:ascii="Times New Roman" w:eastAsia="新細明體" w:hAnsi="Times New Roman" w:cs="Times New Roman" w:hint="eastAsia"/>
          <w:snapToGrid/>
          <w:color w:val="auto"/>
          <w:kern w:val="2"/>
          <w:sz w:val="24"/>
          <w:szCs w:val="22"/>
          <w14:ligatures w14:val="standardContextual"/>
        </w:rPr>
        <w:t>was still</w:t>
      </w:r>
      <w:r w:rsidR="00BE68C8">
        <w:rPr>
          <w:rFonts w:ascii="Times New Roman" w:eastAsia="新細明體" w:hAnsi="Times New Roman" w:cs="Times New Roman" w:hint="eastAsia"/>
          <w:snapToGrid/>
          <w:color w:val="auto"/>
          <w:kern w:val="2"/>
          <w:sz w:val="24"/>
          <w:szCs w:val="22"/>
          <w14:ligatures w14:val="standardContextual"/>
        </w:rPr>
        <w:t xml:space="preserve"> existed and remained</w:t>
      </w:r>
      <w:r w:rsidR="00207538">
        <w:rPr>
          <w:rFonts w:ascii="Times New Roman" w:eastAsia="新細明體" w:hAnsi="Times New Roman" w:cs="Times New Roman" w:hint="eastAsia"/>
          <w:snapToGrid/>
          <w:color w:val="auto"/>
          <w:kern w:val="2"/>
          <w:sz w:val="24"/>
          <w:szCs w:val="22"/>
          <w14:ligatures w14:val="standardContextual"/>
        </w:rPr>
        <w:t xml:space="preserve"> outstanding.</w:t>
      </w:r>
    </w:p>
    <w:p w14:paraId="48880A6B" w14:textId="77777777" w:rsidR="00D17505" w:rsidRPr="00C04067" w:rsidRDefault="00D17505" w:rsidP="00D82AE8">
      <w:pPr>
        <w:widowControl w:val="0"/>
        <w:kinsoku/>
        <w:autoSpaceDE/>
        <w:autoSpaceDN/>
        <w:adjustRightInd/>
        <w:snapToGrid/>
        <w:textAlignment w:val="auto"/>
        <w:rPr>
          <w:rFonts w:ascii="Times New Roman" w:eastAsia="新細明體" w:hAnsi="Times New Roman" w:cs="Times New Roman"/>
          <w:snapToGrid/>
          <w:color w:val="auto"/>
          <w:kern w:val="2"/>
          <w:sz w:val="24"/>
          <w:szCs w:val="22"/>
          <w14:ligatures w14:val="standardContextual"/>
        </w:rPr>
      </w:pPr>
    </w:p>
    <w:p w14:paraId="2AF187A5" w14:textId="2560C072" w:rsidR="00992264" w:rsidRPr="00E77DC7" w:rsidRDefault="00992264" w:rsidP="00992264">
      <w:pPr>
        <w:widowControl w:val="0"/>
        <w:kinsoku/>
        <w:autoSpaceDE/>
        <w:autoSpaceDN/>
        <w:adjustRightInd/>
        <w:snapToGrid/>
        <w:jc w:val="both"/>
        <w:textAlignment w:val="auto"/>
        <w:rPr>
          <w:rFonts w:ascii="Times New Roman" w:eastAsia="新細明體" w:hAnsi="Times New Roman" w:cs="Times New Roman"/>
          <w:b/>
          <w:bCs/>
          <w:snapToGrid/>
          <w:color w:val="auto"/>
          <w:spacing w:val="-6"/>
          <w:kern w:val="2"/>
          <w:sz w:val="24"/>
          <w:szCs w:val="24"/>
          <w14:ligatures w14:val="standardContextual"/>
        </w:rPr>
      </w:pPr>
      <w:r w:rsidRPr="00E77DC7">
        <w:rPr>
          <w:rFonts w:ascii="Times New Roman" w:eastAsia="新細明體" w:hAnsi="Times New Roman" w:cs="Times New Roman" w:hint="eastAsia"/>
          <w:b/>
          <w:bCs/>
          <w:snapToGrid/>
          <w:color w:val="auto"/>
          <w:spacing w:val="-6"/>
          <w:kern w:val="2"/>
          <w:sz w:val="24"/>
          <w:szCs w:val="24"/>
          <w14:ligatures w14:val="standardContextual"/>
        </w:rPr>
        <w:t>2023 Annual Results</w:t>
      </w:r>
      <w:r w:rsidR="00014CBD">
        <w:rPr>
          <w:rFonts w:ascii="Times New Roman" w:eastAsia="新細明體" w:hAnsi="Times New Roman" w:cs="Times New Roman" w:hint="eastAsia"/>
          <w:b/>
          <w:bCs/>
          <w:snapToGrid/>
          <w:color w:val="auto"/>
          <w:spacing w:val="-6"/>
          <w:kern w:val="2"/>
          <w:sz w:val="24"/>
          <w:szCs w:val="24"/>
          <w14:ligatures w14:val="standardContextual"/>
        </w:rPr>
        <w:t xml:space="preserve"> and Annual Report</w:t>
      </w:r>
    </w:p>
    <w:p w14:paraId="2DDA940E" w14:textId="74EBD4FE" w:rsidR="00D82AE8" w:rsidRDefault="00992264" w:rsidP="00D82AE8">
      <w:pPr>
        <w:jc w:val="both"/>
        <w:rPr>
          <w:rFonts w:ascii="Times New Roman" w:eastAsia="新細明體" w:hAnsi="Times New Roman" w:cs="Times New Roman"/>
          <w:sz w:val="24"/>
          <w:szCs w:val="24"/>
        </w:rPr>
      </w:pPr>
      <w:r w:rsidRPr="00992264">
        <w:rPr>
          <w:rFonts w:ascii="Times New Roman" w:eastAsia="新細明體" w:hAnsi="Times New Roman" w:cs="Times New Roman"/>
          <w:sz w:val="24"/>
          <w:szCs w:val="24"/>
        </w:rPr>
        <w:t xml:space="preserve">As of the date of this announcement, the preparation of the consolidated financial statements for the year ended 31 December 2023 is still ongoing. The Group is also maintaining ongoing communication and orderly cooperation with the auditor to finalize and publish the 2023 annual results and despatch the 2023 annual report as soon as practicable. The Company will make further announcement(s) in </w:t>
      </w:r>
      <w:r w:rsidRPr="00992264">
        <w:rPr>
          <w:rFonts w:ascii="Times New Roman" w:eastAsia="新細明體" w:hAnsi="Times New Roman" w:cs="Times New Roman"/>
          <w:sz w:val="24"/>
          <w:szCs w:val="24"/>
        </w:rPr>
        <w:lastRenderedPageBreak/>
        <w:t xml:space="preserve">respect of the publication date of the audited annual accounts for 2023 </w:t>
      </w:r>
      <w:r w:rsidR="007572CD">
        <w:rPr>
          <w:rFonts w:ascii="Times New Roman" w:eastAsia="新細明體" w:hAnsi="Times New Roman" w:cs="Times New Roman" w:hint="eastAsia"/>
          <w:sz w:val="24"/>
          <w:szCs w:val="24"/>
        </w:rPr>
        <w:t xml:space="preserve">and publication of the 2023 annual report </w:t>
      </w:r>
      <w:r w:rsidRPr="00992264">
        <w:rPr>
          <w:rFonts w:ascii="Times New Roman" w:eastAsia="新細明體" w:hAnsi="Times New Roman" w:cs="Times New Roman"/>
          <w:sz w:val="24"/>
          <w:szCs w:val="24"/>
        </w:rPr>
        <w:t>as and when appropriate under the Listing Rules.</w:t>
      </w:r>
    </w:p>
    <w:p w14:paraId="3D96050C" w14:textId="77777777" w:rsidR="00992264" w:rsidRDefault="00992264" w:rsidP="00D82AE8">
      <w:pPr>
        <w:jc w:val="both"/>
        <w:rPr>
          <w:rFonts w:ascii="Times New Roman" w:eastAsia="新細明體" w:hAnsi="Times New Roman" w:cs="Times New Roman"/>
          <w:sz w:val="24"/>
          <w:szCs w:val="24"/>
        </w:rPr>
      </w:pPr>
    </w:p>
    <w:p w14:paraId="49B0EEA3" w14:textId="5235BFE6" w:rsidR="00D82AE8" w:rsidRDefault="00B54FAA" w:rsidP="00D82AE8">
      <w:pPr>
        <w:widowControl w:val="0"/>
        <w:kinsoku/>
        <w:autoSpaceDE/>
        <w:autoSpaceDN/>
        <w:adjustRightInd/>
        <w:snapToGrid/>
        <w:jc w:val="both"/>
        <w:textAlignment w:val="auto"/>
        <w:rPr>
          <w:rFonts w:ascii="Times New Roman" w:eastAsia="新細明體" w:hAnsi="Times New Roman" w:cs="Times New Roman"/>
          <w:b/>
          <w:bCs/>
          <w:snapToGrid/>
          <w:color w:val="auto"/>
          <w:kern w:val="2"/>
          <w:sz w:val="24"/>
          <w:szCs w:val="22"/>
          <w14:ligatures w14:val="standardContextual"/>
        </w:rPr>
      </w:pPr>
      <w:r w:rsidRPr="00C04067">
        <w:rPr>
          <w:rFonts w:ascii="Times New Roman" w:eastAsia="新細明體" w:hAnsi="Times New Roman" w:cs="Times New Roman"/>
          <w:b/>
          <w:bCs/>
          <w:snapToGrid/>
          <w:color w:val="auto"/>
          <w:kern w:val="2"/>
          <w:sz w:val="24"/>
          <w:szCs w:val="22"/>
          <w14:ligatures w14:val="standardContextual"/>
        </w:rPr>
        <w:t>CONTINUED SUSPENSION OF TRADING</w:t>
      </w:r>
    </w:p>
    <w:p w14:paraId="7384A543" w14:textId="77777777" w:rsidR="00992264" w:rsidRPr="00C04067" w:rsidRDefault="00992264" w:rsidP="00D82AE8">
      <w:pPr>
        <w:widowControl w:val="0"/>
        <w:kinsoku/>
        <w:autoSpaceDE/>
        <w:autoSpaceDN/>
        <w:adjustRightInd/>
        <w:snapToGrid/>
        <w:jc w:val="both"/>
        <w:textAlignment w:val="auto"/>
        <w:rPr>
          <w:rFonts w:ascii="Times New Roman" w:eastAsia="新細明體" w:hAnsi="Times New Roman" w:cs="Times New Roman"/>
          <w:b/>
          <w:bCs/>
          <w:snapToGrid/>
          <w:color w:val="auto"/>
          <w:kern w:val="2"/>
          <w:sz w:val="24"/>
          <w:szCs w:val="22"/>
          <w14:ligatures w14:val="standardContextual"/>
        </w:rPr>
      </w:pPr>
    </w:p>
    <w:p w14:paraId="5B8EAD1D" w14:textId="3147E404" w:rsidR="00D82AE8" w:rsidRPr="00DD4384" w:rsidRDefault="00DD4384" w:rsidP="00D82AE8">
      <w:pPr>
        <w:jc w:val="both"/>
        <w:rPr>
          <w:rFonts w:ascii="Times New Roman" w:eastAsia="新細明體" w:hAnsi="Times New Roman" w:cs="Times New Roman"/>
          <w:sz w:val="24"/>
          <w:szCs w:val="24"/>
        </w:rPr>
      </w:pPr>
      <w:r w:rsidRPr="00992264">
        <w:rPr>
          <w:rFonts w:ascii="Times New Roman" w:eastAsia="新細明體" w:hAnsi="Times New Roman" w:cs="Times New Roman"/>
          <w:sz w:val="24"/>
          <w:szCs w:val="24"/>
        </w:rPr>
        <w:t>As</w:t>
      </w:r>
      <w:r w:rsidRPr="00992264">
        <w:rPr>
          <w:rFonts w:ascii="Times New Roman" w:eastAsia="新細明體" w:hAnsi="Times New Roman" w:cs="Times New Roman" w:hint="eastAsia"/>
          <w:sz w:val="24"/>
          <w:szCs w:val="24"/>
        </w:rPr>
        <w:t xml:space="preserve"> the request of the Company, trading in the shares of the Company on the Stock Exchange was suspended from 9:00am on </w:t>
      </w:r>
      <w:r w:rsidR="004C7C41">
        <w:rPr>
          <w:rFonts w:ascii="Times New Roman" w:eastAsia="新細明體" w:hAnsi="Times New Roman" w:cs="Times New Roman" w:hint="eastAsia"/>
          <w:sz w:val="24"/>
          <w:szCs w:val="24"/>
        </w:rPr>
        <w:t>2</w:t>
      </w:r>
      <w:r w:rsidRPr="00992264">
        <w:rPr>
          <w:rFonts w:ascii="Times New Roman" w:eastAsia="新細明體" w:hAnsi="Times New Roman" w:cs="Times New Roman" w:hint="eastAsia"/>
          <w:sz w:val="24"/>
          <w:szCs w:val="24"/>
        </w:rPr>
        <w:t xml:space="preserve"> April 2024 and will remain suspended until further notice.</w:t>
      </w:r>
    </w:p>
    <w:p w14:paraId="10FF04AC" w14:textId="77777777" w:rsidR="00D77FBD" w:rsidRPr="00992264" w:rsidRDefault="00D77FBD" w:rsidP="00992264">
      <w:pPr>
        <w:jc w:val="both"/>
        <w:rPr>
          <w:rFonts w:ascii="Times New Roman" w:eastAsia="新細明體" w:hAnsi="Times New Roman" w:cs="Times New Roman"/>
          <w:sz w:val="24"/>
          <w:szCs w:val="24"/>
        </w:rPr>
      </w:pPr>
    </w:p>
    <w:p w14:paraId="22630664" w14:textId="73BE3490" w:rsidR="00D77FBD" w:rsidRPr="00C04067" w:rsidRDefault="00B54FAA" w:rsidP="00D77FBD">
      <w:pPr>
        <w:widowControl w:val="0"/>
        <w:kinsoku/>
        <w:autoSpaceDE/>
        <w:autoSpaceDN/>
        <w:adjustRightInd/>
        <w:snapToGrid/>
        <w:jc w:val="both"/>
        <w:textAlignment w:val="auto"/>
        <w:rPr>
          <w:rFonts w:ascii="Times New Roman" w:eastAsia="SimSun" w:hAnsi="Times New Roman" w:cs="Times New Roman"/>
          <w:b/>
          <w:bCs/>
          <w:snapToGrid/>
          <w:color w:val="auto"/>
          <w:kern w:val="2"/>
          <w:sz w:val="24"/>
          <w:szCs w:val="22"/>
          <w14:ligatures w14:val="standardContextual"/>
        </w:rPr>
      </w:pPr>
      <w:r w:rsidRPr="00C04067">
        <w:rPr>
          <w:rFonts w:ascii="Times New Roman" w:hAnsi="Times New Roman" w:cs="Times New Roman"/>
          <w:b/>
          <w:bCs/>
        </w:rPr>
        <w:t>Shareholders and potential investors should exercise caution when dealing in shares of the Company.</w:t>
      </w:r>
    </w:p>
    <w:p w14:paraId="50A20133" w14:textId="77777777" w:rsidR="007E09AC" w:rsidRPr="00C04067" w:rsidRDefault="007E09AC">
      <w:pPr>
        <w:spacing w:before="244" w:line="213" w:lineRule="auto"/>
        <w:ind w:right="38"/>
        <w:jc w:val="both"/>
        <w:rPr>
          <w:rFonts w:ascii="Times New Roman" w:eastAsia="新細明體" w:hAnsi="Times New Roman" w:cs="Times New Roman"/>
          <w:spacing w:val="21"/>
          <w:sz w:val="24"/>
          <w:szCs w:val="24"/>
        </w:rPr>
      </w:pPr>
    </w:p>
    <w:p w14:paraId="460AD852" w14:textId="77777777" w:rsidR="007E09AC" w:rsidRPr="00C04067" w:rsidRDefault="007E09AC" w:rsidP="002F6B27">
      <w:pPr>
        <w:spacing w:before="244" w:line="213" w:lineRule="auto"/>
        <w:ind w:right="38"/>
        <w:jc w:val="both"/>
        <w:rPr>
          <w:rFonts w:ascii="Times New Roman" w:eastAsiaTheme="majorEastAsia" w:hAnsi="Times New Roman" w:cs="Times New Roman"/>
          <w:sz w:val="24"/>
          <w:szCs w:val="24"/>
        </w:rPr>
      </w:pPr>
    </w:p>
    <w:p w14:paraId="4E7AF1C1" w14:textId="5FEAF669" w:rsidR="00B5002D" w:rsidRPr="00C04067" w:rsidRDefault="00B54FAA" w:rsidP="009F6178">
      <w:pPr>
        <w:spacing w:before="325" w:line="189" w:lineRule="auto"/>
        <w:ind w:left="5760" w:firstLine="480"/>
        <w:rPr>
          <w:rFonts w:ascii="Times New Roman" w:eastAsia="新細明體" w:hAnsi="Times New Roman" w:cs="Times New Roman"/>
          <w:sz w:val="24"/>
          <w:szCs w:val="24"/>
        </w:rPr>
      </w:pPr>
      <w:r w:rsidRPr="00C04067">
        <w:rPr>
          <w:rFonts w:ascii="Times New Roman" w:eastAsia="新細明體" w:hAnsi="Times New Roman" w:cs="Times New Roman"/>
          <w:spacing w:val="12"/>
          <w:sz w:val="24"/>
          <w:szCs w:val="24"/>
        </w:rPr>
        <w:t>By order of the Board</w:t>
      </w:r>
    </w:p>
    <w:p w14:paraId="5D9956EC" w14:textId="63AA85B2" w:rsidR="00B5002D" w:rsidRPr="009F6178" w:rsidRDefault="00B54FAA" w:rsidP="009F6178">
      <w:pPr>
        <w:spacing w:before="1" w:line="189" w:lineRule="auto"/>
        <w:ind w:left="6663" w:right="39"/>
        <w:rPr>
          <w:rFonts w:ascii="Times New Roman" w:eastAsia="新細明體" w:hAnsi="Times New Roman" w:cs="Times New Roman"/>
          <w:b/>
          <w:bCs/>
          <w:sz w:val="24"/>
          <w:szCs w:val="24"/>
        </w:rPr>
      </w:pPr>
      <w:r w:rsidRPr="009F6178">
        <w:rPr>
          <w:rFonts w:ascii="Times New Roman" w:eastAsia="新細明體" w:hAnsi="Times New Roman" w:cs="Times New Roman"/>
          <w:b/>
          <w:bCs/>
          <w:spacing w:val="17"/>
          <w:sz w:val="24"/>
          <w:szCs w:val="24"/>
        </w:rPr>
        <w:t>Keyne Ltd</w:t>
      </w:r>
    </w:p>
    <w:p w14:paraId="5EA88575" w14:textId="361CA9F1" w:rsidR="00B5002D" w:rsidRPr="009F6178" w:rsidRDefault="00AC74E3" w:rsidP="009F6178">
      <w:pPr>
        <w:spacing w:before="1" w:line="183" w:lineRule="auto"/>
        <w:ind w:left="6663" w:right="131"/>
        <w:rPr>
          <w:rFonts w:ascii="Times New Roman" w:eastAsia="新細明體" w:hAnsi="Times New Roman" w:cs="Times New Roman"/>
          <w:b/>
          <w:bCs/>
          <w:sz w:val="24"/>
          <w:szCs w:val="24"/>
        </w:rPr>
      </w:pPr>
      <w:r>
        <w:rPr>
          <w:rFonts w:ascii="Times New Roman" w:eastAsia="新細明體" w:hAnsi="Times New Roman" w:cs="Times New Roman" w:hint="eastAsia"/>
          <w:b/>
          <w:bCs/>
          <w:spacing w:val="7"/>
          <w:sz w:val="24"/>
          <w:szCs w:val="24"/>
        </w:rPr>
        <w:t>Yu Chao</w:t>
      </w:r>
    </w:p>
    <w:p w14:paraId="0214BEA9" w14:textId="1478D993" w:rsidR="00B5002D" w:rsidRPr="009F6178" w:rsidRDefault="00B54FAA" w:rsidP="009F6178">
      <w:pPr>
        <w:spacing w:before="1" w:line="191" w:lineRule="auto"/>
        <w:jc w:val="right"/>
        <w:rPr>
          <w:rFonts w:ascii="Times New Roman" w:eastAsia="新細明體" w:hAnsi="Times New Roman" w:cs="Times New Roman"/>
          <w:sz w:val="24"/>
          <w:szCs w:val="24"/>
        </w:rPr>
      </w:pPr>
      <w:r w:rsidRPr="009F6178">
        <w:rPr>
          <w:rFonts w:ascii="Times New Roman" w:eastAsia="新細明體" w:hAnsi="Times New Roman" w:cs="Times New Roman"/>
          <w:spacing w:val="8"/>
          <w:sz w:val="24"/>
          <w:szCs w:val="24"/>
        </w:rPr>
        <w:t>Executive Director and Chief Executive Officer</w:t>
      </w:r>
    </w:p>
    <w:p w14:paraId="70E3151C" w14:textId="3EC211AF" w:rsidR="00B5002D" w:rsidRPr="00C04067" w:rsidRDefault="00B54FAA" w:rsidP="002F6B27">
      <w:pPr>
        <w:spacing w:before="244" w:line="213" w:lineRule="auto"/>
        <w:ind w:right="38" w:hanging="17"/>
        <w:rPr>
          <w:rFonts w:ascii="Times New Roman" w:eastAsia="新細明體" w:hAnsi="Times New Roman" w:cs="Times New Roman"/>
          <w:spacing w:val="12"/>
          <w:sz w:val="24"/>
          <w:szCs w:val="24"/>
        </w:rPr>
      </w:pPr>
      <w:r w:rsidRPr="00C04067">
        <w:rPr>
          <w:rFonts w:ascii="Times New Roman" w:eastAsia="新細明體" w:hAnsi="Times New Roman" w:cs="Times New Roman"/>
          <w:spacing w:val="12"/>
          <w:sz w:val="24"/>
          <w:szCs w:val="24"/>
        </w:rPr>
        <w:t xml:space="preserve">Hong Kong, </w:t>
      </w:r>
      <w:r w:rsidR="00206A51">
        <w:rPr>
          <w:rFonts w:ascii="Times New Roman" w:eastAsia="新細明體" w:hAnsi="Times New Roman" w:cs="Times New Roman" w:hint="eastAsia"/>
          <w:spacing w:val="12"/>
          <w:sz w:val="24"/>
          <w:szCs w:val="24"/>
        </w:rPr>
        <w:t>4 July</w:t>
      </w:r>
      <w:r w:rsidRPr="00C04067">
        <w:rPr>
          <w:rFonts w:ascii="Times New Roman" w:eastAsia="新細明體" w:hAnsi="Times New Roman" w:cs="Times New Roman"/>
          <w:spacing w:val="12"/>
          <w:sz w:val="24"/>
          <w:szCs w:val="24"/>
        </w:rPr>
        <w:t xml:space="preserve"> 2024</w:t>
      </w:r>
    </w:p>
    <w:p w14:paraId="06CDF2DD" w14:textId="0D3A1275" w:rsidR="00B54FAA" w:rsidRPr="00C04067" w:rsidRDefault="00B54FAA" w:rsidP="00431132">
      <w:pPr>
        <w:tabs>
          <w:tab w:val="left" w:pos="130"/>
        </w:tabs>
        <w:spacing w:before="327" w:line="197" w:lineRule="auto"/>
        <w:jc w:val="both"/>
        <w:rPr>
          <w:rFonts w:ascii="Times New Roman" w:eastAsia="新細明體" w:hAnsi="Times New Roman" w:cs="Times New Roman"/>
          <w:spacing w:val="78"/>
          <w:sz w:val="24"/>
          <w:szCs w:val="24"/>
        </w:rPr>
      </w:pPr>
      <w:r w:rsidRPr="00C04067">
        <w:rPr>
          <w:rFonts w:ascii="Times New Roman" w:hAnsi="Times New Roman" w:cs="Times New Roman"/>
          <w:i/>
          <w:iCs/>
        </w:rPr>
        <w:t xml:space="preserve">As at the date of this announcement, the Board comprises six Directors. The executive Directors are Ms. Qian Ling Ling (Chairman), Mr. </w:t>
      </w:r>
      <w:r w:rsidR="00AC74E3">
        <w:rPr>
          <w:rFonts w:ascii="Times New Roman" w:eastAsia="新細明體" w:hAnsi="Times New Roman" w:cs="Times New Roman" w:hint="eastAsia"/>
          <w:i/>
          <w:iCs/>
        </w:rPr>
        <w:t>Yu Chao</w:t>
      </w:r>
      <w:r w:rsidRPr="00C04067">
        <w:rPr>
          <w:rFonts w:ascii="Times New Roman" w:hAnsi="Times New Roman" w:cs="Times New Roman"/>
          <w:i/>
          <w:iCs/>
        </w:rPr>
        <w:t xml:space="preserve"> (Chief Executive Officer) and Mr. Xiang Junjie; and the independent non-executive Directors are Mr. Tsui Pui Hung, Mr. Tang Ping Sum and Mr. Neil Kai Gu.</w:t>
      </w:r>
    </w:p>
    <w:p w14:paraId="3B769F63" w14:textId="757C056C" w:rsidR="00B54FAA" w:rsidRPr="00C04067" w:rsidRDefault="00B54FAA" w:rsidP="00431132">
      <w:pPr>
        <w:tabs>
          <w:tab w:val="left" w:pos="130"/>
        </w:tabs>
        <w:spacing w:before="327" w:line="197" w:lineRule="auto"/>
        <w:jc w:val="both"/>
        <w:rPr>
          <w:rFonts w:ascii="Times New Roman" w:eastAsia="新細明體" w:hAnsi="Times New Roman" w:cs="Times New Roman"/>
          <w:sz w:val="26"/>
          <w:szCs w:val="26"/>
        </w:rPr>
      </w:pPr>
      <w:r w:rsidRPr="00C04067">
        <w:rPr>
          <w:rFonts w:ascii="Times New Roman" w:hAnsi="Times New Roman" w:cs="Times New Roman"/>
        </w:rPr>
        <w:t>If there is any discrepancy between the English version and the Chinese translation, the English version shall prevail.</w:t>
      </w:r>
    </w:p>
    <w:sectPr w:rsidR="00B54FAA" w:rsidRPr="00C04067" w:rsidSect="00BB1A8C">
      <w:footerReference w:type="default" r:id="rId8"/>
      <w:footerReference w:type="first" r:id="rId9"/>
      <w:pgSz w:w="11906" w:h="15875"/>
      <w:pgMar w:top="1440" w:right="1080" w:bottom="1440" w:left="1080" w:header="0" w:footer="504"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DC4F48" w14:textId="77777777" w:rsidR="00C71FED" w:rsidRDefault="00C71FED">
      <w:r>
        <w:separator/>
      </w:r>
    </w:p>
  </w:endnote>
  <w:endnote w:type="continuationSeparator" w:id="0">
    <w:p w14:paraId="4137899D" w14:textId="77777777" w:rsidR="00C71FED" w:rsidRDefault="00C7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3010773"/>
      <w:docPartObj>
        <w:docPartGallery w:val="Page Numbers (Bottom of Page)"/>
        <w:docPartUnique/>
      </w:docPartObj>
    </w:sdtPr>
    <w:sdtContent>
      <w:p w14:paraId="3CEC6F93" w14:textId="6A6DDF0D" w:rsidR="00F7520E" w:rsidRDefault="00F7520E">
        <w:pPr>
          <w:pStyle w:val="a6"/>
          <w:jc w:val="center"/>
        </w:pPr>
        <w:r>
          <w:fldChar w:fldCharType="begin"/>
        </w:r>
        <w:r>
          <w:instrText>PAGE   \* MERGEFORMAT</w:instrText>
        </w:r>
        <w:r>
          <w:fldChar w:fldCharType="separate"/>
        </w:r>
        <w:r>
          <w:rPr>
            <w:lang w:val="zh-TW"/>
          </w:rPr>
          <w:t>2</w:t>
        </w:r>
        <w:r>
          <w:fldChar w:fldCharType="end"/>
        </w:r>
      </w:p>
    </w:sdtContent>
  </w:sdt>
  <w:p w14:paraId="4EC6195B" w14:textId="37C64AE7" w:rsidR="00B5002D" w:rsidRDefault="00B5002D">
    <w:pPr>
      <w:spacing w:line="185" w:lineRule="auto"/>
      <w:ind w:left="4996"/>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3C073" w14:textId="7FDE30C6" w:rsidR="00F7520E" w:rsidRPr="00A205EC" w:rsidRDefault="00F7520E" w:rsidP="00A205EC">
    <w:pPr>
      <w:pStyle w:val="a6"/>
      <w:jc w:val="center"/>
      <w:rPr>
        <w:rFonts w:eastAsia="新細明體"/>
      </w:rPr>
    </w:pPr>
    <w:r>
      <w:rPr>
        <w:rFonts w:eastAsia="新細明體"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9FBEA1" w14:textId="77777777" w:rsidR="00C71FED" w:rsidRDefault="00C71FED">
      <w:r>
        <w:separator/>
      </w:r>
    </w:p>
  </w:footnote>
  <w:footnote w:type="continuationSeparator" w:id="0">
    <w:p w14:paraId="718F8EA7" w14:textId="77777777" w:rsidR="00C71FED" w:rsidRDefault="00C71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B1450"/>
    <w:multiLevelType w:val="hybridMultilevel"/>
    <w:tmpl w:val="06B8262A"/>
    <w:lvl w:ilvl="0" w:tplc="CC9643F8">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2E93803"/>
    <w:multiLevelType w:val="hybridMultilevel"/>
    <w:tmpl w:val="220A3780"/>
    <w:lvl w:ilvl="0" w:tplc="810E8AE6">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B1F0A32"/>
    <w:multiLevelType w:val="hybridMultilevel"/>
    <w:tmpl w:val="664606DC"/>
    <w:lvl w:ilvl="0" w:tplc="1738FD34">
      <w:numFmt w:val="bullet"/>
      <w:lvlText w:val=""/>
      <w:lvlJc w:val="left"/>
      <w:pPr>
        <w:ind w:left="360" w:hanging="360"/>
      </w:pPr>
      <w:rPr>
        <w:rFonts w:ascii="Wingdings" w:eastAsia="新細明體" w:hAnsi="Wingdings" w:cs="Times New Roman" w:hint="default"/>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90242A8"/>
    <w:multiLevelType w:val="hybridMultilevel"/>
    <w:tmpl w:val="7F6838A2"/>
    <w:lvl w:ilvl="0" w:tplc="EF147F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4869FC"/>
    <w:multiLevelType w:val="hybridMultilevel"/>
    <w:tmpl w:val="B52CCBD8"/>
    <w:lvl w:ilvl="0" w:tplc="959ADBDA">
      <w:start w:val="1"/>
      <w:numFmt w:val="decimal"/>
      <w:lvlText w:val="(%1)"/>
      <w:lvlJc w:val="left"/>
      <w:pPr>
        <w:ind w:left="390" w:hanging="39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80E25B1"/>
    <w:multiLevelType w:val="hybridMultilevel"/>
    <w:tmpl w:val="63AAC8AA"/>
    <w:lvl w:ilvl="0" w:tplc="08ECBA2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E1E4FFD"/>
    <w:multiLevelType w:val="hybridMultilevel"/>
    <w:tmpl w:val="272ACE80"/>
    <w:lvl w:ilvl="0" w:tplc="C21C37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EEC7D23"/>
    <w:multiLevelType w:val="hybridMultilevel"/>
    <w:tmpl w:val="004011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679551719">
    <w:abstractNumId w:val="1"/>
  </w:num>
  <w:num w:numId="2" w16cid:durableId="1887526277">
    <w:abstractNumId w:val="5"/>
  </w:num>
  <w:num w:numId="3" w16cid:durableId="923535690">
    <w:abstractNumId w:val="2"/>
  </w:num>
  <w:num w:numId="4" w16cid:durableId="1895071714">
    <w:abstractNumId w:val="0"/>
  </w:num>
  <w:num w:numId="5" w16cid:durableId="1632176957">
    <w:abstractNumId w:val="6"/>
  </w:num>
  <w:num w:numId="6" w16cid:durableId="1945070115">
    <w:abstractNumId w:val="7"/>
  </w:num>
  <w:num w:numId="7" w16cid:durableId="2093695128">
    <w:abstractNumId w:val="4"/>
  </w:num>
  <w:num w:numId="8" w16cid:durableId="1838615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bordersDoNotSurroundHeader/>
  <w:bordersDoNotSurroundFooter/>
  <w:defaultTabStop w:val="480"/>
  <w:characterSpacingControl w:val="doNotCompress"/>
  <w:hdrShapeDefaults>
    <o:shapedefaults v:ext="edit" spidmax="2050" fillcolor="white">
      <v:fill color="white"/>
    </o:shapedefaults>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lhZTk5MTY0OWUzN2M4YjI1ZjFlNDgzMjBjMTlmYWEifQ=="/>
  </w:docVars>
  <w:rsids>
    <w:rsidRoot w:val="00B5002D"/>
    <w:rsid w:val="00003546"/>
    <w:rsid w:val="00014CBD"/>
    <w:rsid w:val="000A04DF"/>
    <w:rsid w:val="000D2530"/>
    <w:rsid w:val="00103E83"/>
    <w:rsid w:val="00106CE8"/>
    <w:rsid w:val="00135A27"/>
    <w:rsid w:val="00156475"/>
    <w:rsid w:val="001771ED"/>
    <w:rsid w:val="00195E91"/>
    <w:rsid w:val="001D3467"/>
    <w:rsid w:val="00200806"/>
    <w:rsid w:val="00206A51"/>
    <w:rsid w:val="00207538"/>
    <w:rsid w:val="002122CC"/>
    <w:rsid w:val="00243A5B"/>
    <w:rsid w:val="002520E0"/>
    <w:rsid w:val="00262A5F"/>
    <w:rsid w:val="0027273D"/>
    <w:rsid w:val="00276B96"/>
    <w:rsid w:val="00276CD8"/>
    <w:rsid w:val="002F6B27"/>
    <w:rsid w:val="003178A2"/>
    <w:rsid w:val="00323CDC"/>
    <w:rsid w:val="003378A7"/>
    <w:rsid w:val="00364A6A"/>
    <w:rsid w:val="003824C5"/>
    <w:rsid w:val="004120EA"/>
    <w:rsid w:val="00413A70"/>
    <w:rsid w:val="004221BA"/>
    <w:rsid w:val="00431132"/>
    <w:rsid w:val="00463223"/>
    <w:rsid w:val="00474D63"/>
    <w:rsid w:val="00476510"/>
    <w:rsid w:val="004A3241"/>
    <w:rsid w:val="004C7C41"/>
    <w:rsid w:val="004F24DB"/>
    <w:rsid w:val="0051713F"/>
    <w:rsid w:val="00520789"/>
    <w:rsid w:val="0055336A"/>
    <w:rsid w:val="0058623B"/>
    <w:rsid w:val="005A1997"/>
    <w:rsid w:val="005D021A"/>
    <w:rsid w:val="005E436E"/>
    <w:rsid w:val="006325C4"/>
    <w:rsid w:val="006C679B"/>
    <w:rsid w:val="006F19AB"/>
    <w:rsid w:val="007572CD"/>
    <w:rsid w:val="00774C7F"/>
    <w:rsid w:val="007D6387"/>
    <w:rsid w:val="007E09AC"/>
    <w:rsid w:val="00817261"/>
    <w:rsid w:val="00871575"/>
    <w:rsid w:val="008B5C0A"/>
    <w:rsid w:val="008C1EF9"/>
    <w:rsid w:val="008E17A8"/>
    <w:rsid w:val="0090436E"/>
    <w:rsid w:val="00912BF4"/>
    <w:rsid w:val="00971E06"/>
    <w:rsid w:val="00977D99"/>
    <w:rsid w:val="00992264"/>
    <w:rsid w:val="009B5217"/>
    <w:rsid w:val="009B68A9"/>
    <w:rsid w:val="009F3220"/>
    <w:rsid w:val="009F5FFB"/>
    <w:rsid w:val="009F6178"/>
    <w:rsid w:val="00A205EC"/>
    <w:rsid w:val="00A30214"/>
    <w:rsid w:val="00A719EA"/>
    <w:rsid w:val="00A917AB"/>
    <w:rsid w:val="00AB005F"/>
    <w:rsid w:val="00AC74E3"/>
    <w:rsid w:val="00B5002D"/>
    <w:rsid w:val="00B54FAA"/>
    <w:rsid w:val="00B61BEF"/>
    <w:rsid w:val="00BA2A5A"/>
    <w:rsid w:val="00BB1A8C"/>
    <w:rsid w:val="00BB4348"/>
    <w:rsid w:val="00BD74A7"/>
    <w:rsid w:val="00BE68C8"/>
    <w:rsid w:val="00C04067"/>
    <w:rsid w:val="00C345C6"/>
    <w:rsid w:val="00C71FED"/>
    <w:rsid w:val="00C82211"/>
    <w:rsid w:val="00CF40F7"/>
    <w:rsid w:val="00D12460"/>
    <w:rsid w:val="00D17505"/>
    <w:rsid w:val="00D236AA"/>
    <w:rsid w:val="00D77FBD"/>
    <w:rsid w:val="00D82AE8"/>
    <w:rsid w:val="00DC34ED"/>
    <w:rsid w:val="00DD4384"/>
    <w:rsid w:val="00DF32BD"/>
    <w:rsid w:val="00DF4EE5"/>
    <w:rsid w:val="00E15B7D"/>
    <w:rsid w:val="00E21065"/>
    <w:rsid w:val="00E21991"/>
    <w:rsid w:val="00E21EBE"/>
    <w:rsid w:val="00E5007D"/>
    <w:rsid w:val="00E52011"/>
    <w:rsid w:val="00E77DC7"/>
    <w:rsid w:val="00E9012A"/>
    <w:rsid w:val="00EC0B8A"/>
    <w:rsid w:val="00F20A24"/>
    <w:rsid w:val="00F34F1D"/>
    <w:rsid w:val="00F369D9"/>
    <w:rsid w:val="00F7520E"/>
    <w:rsid w:val="00F86BED"/>
    <w:rsid w:val="00FB5FA0"/>
    <w:rsid w:val="00FC6545"/>
    <w:rsid w:val="00FC7C4C"/>
    <w:rsid w:val="00FD62AB"/>
    <w:rsid w:val="00FE2C95"/>
    <w:rsid w:val="00FE4902"/>
    <w:rsid w:val="00FF36EE"/>
    <w:rsid w:val="0E012D07"/>
    <w:rsid w:val="6F997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E10E65E"/>
  <w15:docId w15:val="{E7B01218-A2EA-4A05-9DF4-8076DE6E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新細明體" w:hAnsi="Arial" w:cs="Arial"/>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4348"/>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Revision"/>
    <w:hidden/>
    <w:uiPriority w:val="99"/>
    <w:semiHidden/>
    <w:rsid w:val="0058623B"/>
    <w:rPr>
      <w:rFonts w:eastAsia="Arial"/>
      <w:snapToGrid w:val="0"/>
      <w:color w:val="000000"/>
      <w:sz w:val="21"/>
      <w:szCs w:val="21"/>
    </w:rPr>
  </w:style>
  <w:style w:type="paragraph" w:styleId="a4">
    <w:name w:val="header"/>
    <w:basedOn w:val="a"/>
    <w:link w:val="a5"/>
    <w:uiPriority w:val="99"/>
    <w:rsid w:val="005E436E"/>
    <w:pPr>
      <w:tabs>
        <w:tab w:val="center" w:pos="4153"/>
        <w:tab w:val="right" w:pos="8306"/>
      </w:tabs>
    </w:pPr>
    <w:rPr>
      <w:sz w:val="20"/>
      <w:szCs w:val="20"/>
    </w:rPr>
  </w:style>
  <w:style w:type="character" w:customStyle="1" w:styleId="a5">
    <w:name w:val="頁首 字元"/>
    <w:basedOn w:val="a0"/>
    <w:link w:val="a4"/>
    <w:uiPriority w:val="99"/>
    <w:rsid w:val="005E436E"/>
    <w:rPr>
      <w:rFonts w:eastAsia="Arial"/>
      <w:snapToGrid w:val="0"/>
      <w:color w:val="000000"/>
    </w:rPr>
  </w:style>
  <w:style w:type="paragraph" w:styleId="a6">
    <w:name w:val="footer"/>
    <w:basedOn w:val="a"/>
    <w:link w:val="a7"/>
    <w:uiPriority w:val="99"/>
    <w:rsid w:val="005E436E"/>
    <w:pPr>
      <w:tabs>
        <w:tab w:val="center" w:pos="4153"/>
        <w:tab w:val="right" w:pos="8306"/>
      </w:tabs>
    </w:pPr>
    <w:rPr>
      <w:sz w:val="20"/>
      <w:szCs w:val="20"/>
    </w:rPr>
  </w:style>
  <w:style w:type="character" w:customStyle="1" w:styleId="a7">
    <w:name w:val="頁尾 字元"/>
    <w:basedOn w:val="a0"/>
    <w:link w:val="a6"/>
    <w:uiPriority w:val="99"/>
    <w:rsid w:val="005E436E"/>
    <w:rPr>
      <w:rFonts w:eastAsia="Arial"/>
      <w:snapToGrid w:val="0"/>
      <w:color w:val="000000"/>
    </w:rPr>
  </w:style>
  <w:style w:type="paragraph" w:styleId="a8">
    <w:name w:val="List Paragraph"/>
    <w:basedOn w:val="a"/>
    <w:uiPriority w:val="34"/>
    <w:qFormat/>
    <w:rsid w:val="003178A2"/>
    <w:pPr>
      <w:ind w:leftChars="200" w:left="480"/>
    </w:pPr>
  </w:style>
  <w:style w:type="paragraph" w:styleId="HTML">
    <w:name w:val="HTML Preformatted"/>
    <w:basedOn w:val="a"/>
    <w:link w:val="HTML0"/>
    <w:uiPriority w:val="99"/>
    <w:unhideWhenUsed/>
    <w:rsid w:val="00D23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E/>
      <w:autoSpaceDN/>
      <w:adjustRightInd/>
      <w:snapToGrid/>
      <w:textAlignment w:val="auto"/>
    </w:pPr>
    <w:rPr>
      <w:rFonts w:ascii="Courier New" w:eastAsia="Times New Roman" w:hAnsi="Courier New" w:cs="Courier New"/>
      <w:snapToGrid/>
      <w:color w:val="auto"/>
      <w:sz w:val="20"/>
      <w:szCs w:val="20"/>
    </w:rPr>
  </w:style>
  <w:style w:type="character" w:customStyle="1" w:styleId="HTML0">
    <w:name w:val="HTML 預設格式 字元"/>
    <w:basedOn w:val="a0"/>
    <w:link w:val="HTML"/>
    <w:uiPriority w:val="99"/>
    <w:rsid w:val="00D236AA"/>
    <w:rPr>
      <w:rFonts w:ascii="Courier New" w:eastAsia="Times New Roman" w:hAnsi="Courier New" w:cs="Courier New"/>
    </w:rPr>
  </w:style>
  <w:style w:type="character" w:customStyle="1" w:styleId="y2iqfc">
    <w:name w:val="y2iqfc"/>
    <w:basedOn w:val="a0"/>
    <w:rsid w:val="00D23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1439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Pages>
  <Words>968</Words>
  <Characters>5522</Characters>
  <Application>Microsoft Office Word</Application>
  <DocSecurity>0</DocSecurity>
  <Lines>46</Lines>
  <Paragraphs>12</Paragraphs>
  <ScaleCrop>false</ScaleCrop>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58</cp:revision>
  <cp:lastPrinted>2024-03-18T07:55:00Z</cp:lastPrinted>
  <dcterms:created xsi:type="dcterms:W3CDTF">2024-03-25T03:14:00Z</dcterms:created>
  <dcterms:modified xsi:type="dcterms:W3CDTF">2024-07-04T05:37:00Z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2022-10-05T10:10:00Z</vt:filetime>
  </property>
  <property fmtid="{D5CDD505-2E9C-101B-9397-08002B2CF9AE}" pid="4" name="KSOProductBuildVer">
    <vt:lpwstr>2052-11.1.0.12358</vt:lpwstr>
  </property>
  <property fmtid="{D5CDD505-2E9C-101B-9397-08002B2CF9AE}" pid="5" name="ICV">
    <vt:lpwstr>BFBAFCB1551846BA9E1FE3F80CE4DD7B</vt:lpwstr>
  </property>
</Properties>
</file>