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E280" w14:textId="77777777" w:rsidR="00BB0E9E" w:rsidRPr="000052E6" w:rsidRDefault="00BB0E9E" w:rsidP="00BB0E9E">
      <w:pPr>
        <w:rPr>
          <w:rFonts w:ascii="Times New Roman" w:eastAsia="DengXian" w:hAnsi="Times New Roman" w:cs="Times New Roman"/>
          <w:i/>
          <w:iCs/>
          <w:lang w:eastAsia="zh-CN"/>
        </w:rPr>
      </w:pPr>
      <w:r w:rsidRPr="000052E6">
        <w:rPr>
          <w:rFonts w:ascii="Times New Roman" w:eastAsia="DengXian" w:hAnsi="Times New Roman" w:cs="Times New Roman"/>
          <w:i/>
          <w:iCs/>
          <w:lang w:eastAsia="zh-CN"/>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22524AE1" w14:textId="77777777" w:rsidR="00BB0E9E" w:rsidRDefault="00BB0E9E" w:rsidP="00BB0E9E">
      <w:pPr>
        <w:rPr>
          <w:rFonts w:ascii="Times New Roman" w:eastAsia="DengXian" w:hAnsi="Times New Roman" w:cs="Times New Roman"/>
          <w:lang w:eastAsia="zh-CN"/>
        </w:rPr>
      </w:pPr>
      <w:r w:rsidRPr="000052E6">
        <w:rPr>
          <w:rFonts w:ascii="Times New Roman" w:eastAsia="DengXian" w:hAnsi="Times New Roman" w:cs="Times New Roman"/>
          <w:noProof/>
        </w:rPr>
        <w:drawing>
          <wp:inline distT="0" distB="0" distL="0" distR="0" wp14:anchorId="1192E98A" wp14:editId="4C1602F0">
            <wp:extent cx="5274310" cy="2661285"/>
            <wp:effectExtent l="0" t="0" r="2540" b="5715"/>
            <wp:docPr id="1315617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661285"/>
                    </a:xfrm>
                    <a:prstGeom prst="rect">
                      <a:avLst/>
                    </a:prstGeom>
                    <a:noFill/>
                    <a:ln>
                      <a:noFill/>
                    </a:ln>
                  </pic:spPr>
                </pic:pic>
              </a:graphicData>
            </a:graphic>
          </wp:inline>
        </w:drawing>
      </w:r>
    </w:p>
    <w:p w14:paraId="4A0F4F50" w14:textId="77777777" w:rsidR="00BB0E9E" w:rsidRPr="000052E6" w:rsidRDefault="00BB0E9E" w:rsidP="00BB0E9E">
      <w:pPr>
        <w:jc w:val="center"/>
        <w:rPr>
          <w:rFonts w:ascii="Times New Roman" w:eastAsia="DengXian" w:hAnsi="Times New Roman" w:cs="Times New Roman"/>
          <w:b/>
          <w:bCs/>
          <w:lang w:eastAsia="zh-CN"/>
        </w:rPr>
      </w:pPr>
      <w:r w:rsidRPr="000052E6">
        <w:rPr>
          <w:rFonts w:ascii="Times New Roman" w:eastAsia="DengXian" w:hAnsi="Times New Roman" w:cs="Times New Roman"/>
          <w:b/>
          <w:bCs/>
          <w:lang w:eastAsia="zh-CN"/>
        </w:rPr>
        <w:t>RESUMPTION GUIDANCE</w:t>
      </w:r>
    </w:p>
    <w:p w14:paraId="48628508" w14:textId="77777777" w:rsidR="00BB0E9E" w:rsidRPr="000052E6" w:rsidRDefault="00BB0E9E" w:rsidP="00BB0E9E">
      <w:pPr>
        <w:jc w:val="center"/>
        <w:rPr>
          <w:rFonts w:ascii="Times New Roman" w:eastAsia="DengXian" w:hAnsi="Times New Roman" w:cs="Times New Roman"/>
          <w:b/>
          <w:bCs/>
          <w:lang w:eastAsia="zh-CN"/>
        </w:rPr>
      </w:pPr>
      <w:r w:rsidRPr="000052E6">
        <w:rPr>
          <w:rFonts w:ascii="Times New Roman" w:eastAsia="DengXian" w:hAnsi="Times New Roman" w:cs="Times New Roman"/>
          <w:b/>
          <w:bCs/>
          <w:lang w:eastAsia="zh-CN"/>
        </w:rPr>
        <w:t>AND</w:t>
      </w:r>
    </w:p>
    <w:p w14:paraId="06965D00" w14:textId="77777777" w:rsidR="00BB0E9E" w:rsidRPr="000052E6" w:rsidRDefault="00BB0E9E" w:rsidP="00BB0E9E">
      <w:pPr>
        <w:jc w:val="center"/>
        <w:rPr>
          <w:rFonts w:ascii="Times New Roman" w:eastAsia="DengXian" w:hAnsi="Times New Roman" w:cs="Times New Roman"/>
          <w:b/>
          <w:bCs/>
          <w:lang w:eastAsia="zh-CN"/>
        </w:rPr>
      </w:pPr>
      <w:r w:rsidRPr="000052E6">
        <w:rPr>
          <w:rFonts w:ascii="Times New Roman" w:eastAsia="DengXian" w:hAnsi="Times New Roman" w:cs="Times New Roman"/>
          <w:b/>
          <w:bCs/>
          <w:lang w:eastAsia="zh-CN"/>
        </w:rPr>
        <w:t>CONTINUED SUSPENSION OF TRADING</w:t>
      </w:r>
    </w:p>
    <w:p w14:paraId="517A7B5A" w14:textId="77777777" w:rsidR="00BB0E9E" w:rsidRPr="008B11AB" w:rsidRDefault="00BB0E9E" w:rsidP="00BB0E9E">
      <w:pPr>
        <w:widowControl/>
        <w:jc w:val="both"/>
        <w:rPr>
          <w:rFonts w:ascii="Times New Roman" w:eastAsia="Times New Roman" w:hAnsi="Times New Roman" w:cs="Times New Roman"/>
          <w:kern w:val="0"/>
          <w14:ligatures w14:val="none"/>
        </w:rPr>
      </w:pPr>
      <w:r w:rsidRPr="008B11AB">
        <w:rPr>
          <w:rFonts w:ascii="Times New Roman" w:eastAsia="Times New Roman" w:hAnsi="Times New Roman" w:cs="Times New Roman"/>
          <w:kern w:val="0"/>
          <w14:ligatures w14:val="none"/>
        </w:rPr>
        <w:t xml:space="preserve">This announcement is made </w:t>
      </w:r>
      <w:r>
        <w:rPr>
          <w:rFonts w:ascii="MS Mincho" w:eastAsia="MS Mincho" w:hAnsi="MS Mincho" w:cs="MS Mincho"/>
          <w:kern w:val="0"/>
          <w14:ligatures w14:val="none"/>
        </w:rPr>
        <w:t>by</w:t>
      </w:r>
      <w:r w:rsidRPr="007D13D2">
        <w:rPr>
          <w:rFonts w:ascii="Times New Roman" w:eastAsia="DengXian" w:hAnsi="Times New Roman" w:cs="Times New Roman"/>
          <w:lang w:eastAsia="zh-CN"/>
        </w:rPr>
        <w:t xml:space="preserve"> </w:t>
      </w:r>
      <w:proofErr w:type="spellStart"/>
      <w:r w:rsidRPr="007D13D2">
        <w:rPr>
          <w:rFonts w:ascii="Times New Roman" w:eastAsia="DengXian" w:hAnsi="Times New Roman" w:cs="Times New Roman"/>
          <w:lang w:eastAsia="zh-CN"/>
        </w:rPr>
        <w:t>Huisen</w:t>
      </w:r>
      <w:proofErr w:type="spellEnd"/>
      <w:r w:rsidRPr="007D13D2">
        <w:rPr>
          <w:rFonts w:ascii="Times New Roman" w:eastAsia="DengXian" w:hAnsi="Times New Roman" w:cs="Times New Roman"/>
          <w:lang w:eastAsia="zh-CN"/>
        </w:rPr>
        <w:t xml:space="preserve"> Shares Group Limited (the “Company”</w:t>
      </w:r>
      <w:r>
        <w:rPr>
          <w:rFonts w:ascii="Times New Roman" w:eastAsia="DengXian" w:hAnsi="Times New Roman" w:cs="Times New Roman"/>
          <w:lang w:eastAsia="zh-CN"/>
        </w:rPr>
        <w:t>,</w:t>
      </w:r>
      <w:r>
        <w:rPr>
          <w:rFonts w:eastAsia="Times New Roman"/>
        </w:rPr>
        <w:t xml:space="preserve"> </w:t>
      </w:r>
      <w:r w:rsidRPr="008B11AB">
        <w:rPr>
          <w:rFonts w:ascii="Times New Roman" w:eastAsia="Times New Roman" w:hAnsi="Times New Roman" w:cs="Times New Roman"/>
          <w:kern w:val="0"/>
          <w14:ligatures w14:val="none"/>
        </w:rPr>
        <w:t>together with its subsidiaries, the “</w:t>
      </w:r>
      <w:r w:rsidRPr="008B11AB">
        <w:rPr>
          <w:rFonts w:ascii="Times New Roman" w:eastAsia="Times New Roman" w:hAnsi="Times New Roman" w:cs="Times New Roman"/>
          <w:b/>
          <w:kern w:val="0"/>
          <w14:ligatures w14:val="none"/>
        </w:rPr>
        <w:t>Group</w:t>
      </w:r>
      <w:r w:rsidRPr="008B11AB">
        <w:rPr>
          <w:rFonts w:ascii="Times New Roman" w:eastAsia="Times New Roman" w:hAnsi="Times New Roman" w:cs="Times New Roman"/>
          <w:kern w:val="0"/>
          <w14:ligatures w14:val="none"/>
        </w:rPr>
        <w:t>”</w:t>
      </w:r>
      <w:r w:rsidRPr="007D13D2">
        <w:rPr>
          <w:rFonts w:ascii="Times New Roman" w:eastAsia="DengXian" w:hAnsi="Times New Roman" w:cs="Times New Roman"/>
          <w:lang w:eastAsia="zh-CN"/>
        </w:rPr>
        <w:t>)</w:t>
      </w:r>
      <w:r>
        <w:rPr>
          <w:rFonts w:ascii="Times New Roman" w:eastAsia="DengXian" w:hAnsi="Times New Roman" w:cs="Times New Roman"/>
          <w:lang w:eastAsia="zh-CN"/>
        </w:rPr>
        <w:t xml:space="preserve"> </w:t>
      </w:r>
      <w:r w:rsidRPr="008B11AB">
        <w:rPr>
          <w:rFonts w:ascii="Times New Roman" w:eastAsia="Times New Roman" w:hAnsi="Times New Roman" w:cs="Times New Roman"/>
          <w:kern w:val="0"/>
          <w14:ligatures w14:val="none"/>
        </w:rPr>
        <w:t>pursuant to the Inside Information Provisions (as defined in the Listing Rules) under Part XIVA of the Securities and Futures Ordinance (Chapter 571 of the Laws of Hong Kong) (“SFO”) and Rule 13.09 of the Listing Rules.</w:t>
      </w:r>
    </w:p>
    <w:p w14:paraId="62DB07EE" w14:textId="77777777" w:rsidR="00BB0E9E" w:rsidRPr="00B70104" w:rsidRDefault="00BB0E9E" w:rsidP="00BB0E9E">
      <w:pPr>
        <w:jc w:val="both"/>
        <w:rPr>
          <w:rFonts w:ascii="Times New Roman" w:eastAsia="DengXian" w:hAnsi="Times New Roman" w:cs="Times New Roman"/>
          <w:lang w:eastAsia="zh-CN"/>
        </w:rPr>
      </w:pPr>
      <w:r w:rsidRPr="00B70104">
        <w:rPr>
          <w:rFonts w:ascii="Times New Roman" w:eastAsia="DengXian" w:hAnsi="Times New Roman" w:cs="Times New Roman"/>
          <w:lang w:eastAsia="zh-CN"/>
        </w:rPr>
        <w:t xml:space="preserve">Reference is made to the announcement of the Company dated 9 June 2025 in relation to the suspension of trading in the shares of the Company on the Stock Exchange </w:t>
      </w:r>
      <w:r w:rsidRPr="00F87C6B">
        <w:rPr>
          <w:rFonts w:ascii="Times New Roman" w:eastAsia="DengXian" w:hAnsi="Times New Roman" w:cs="Times New Roman"/>
          <w:lang w:eastAsia="zh-CN"/>
        </w:rPr>
        <w:t>(the “Announcement”)</w:t>
      </w:r>
      <w:r w:rsidRPr="00B70104">
        <w:rPr>
          <w:rFonts w:ascii="Times New Roman" w:eastAsia="DengXian" w:hAnsi="Times New Roman" w:cs="Times New Roman"/>
          <w:lang w:eastAsia="zh-CN"/>
        </w:rPr>
        <w:t>.</w:t>
      </w:r>
      <w:r w:rsidRPr="00F87C6B">
        <w:rPr>
          <w:rFonts w:ascii="Times New Roman" w:eastAsia="DengXian" w:hAnsi="Times New Roman" w:cs="Times New Roman"/>
          <w:lang w:eastAsia="zh-CN"/>
        </w:rPr>
        <w:t xml:space="preserve"> </w:t>
      </w:r>
      <w:proofErr w:type="spellStart"/>
      <w:r w:rsidRPr="00F87C6B">
        <w:rPr>
          <w:rFonts w:ascii="Times New Roman" w:eastAsia="DengXian" w:hAnsi="Times New Roman" w:cs="Times New Roman"/>
          <w:lang w:eastAsia="zh-CN"/>
        </w:rPr>
        <w:t>Capitalised</w:t>
      </w:r>
      <w:proofErr w:type="spellEnd"/>
      <w:r w:rsidRPr="00F87C6B">
        <w:rPr>
          <w:rFonts w:ascii="Times New Roman" w:eastAsia="DengXian" w:hAnsi="Times New Roman" w:cs="Times New Roman"/>
          <w:lang w:eastAsia="zh-CN"/>
        </w:rPr>
        <w:t xml:space="preserve"> terms used in this announcement shall have the same</w:t>
      </w:r>
      <w:r>
        <w:rPr>
          <w:rFonts w:ascii="Times New Roman" w:eastAsia="DengXian" w:hAnsi="Times New Roman" w:cs="Times New Roman" w:hint="eastAsia"/>
          <w:lang w:eastAsia="zh-CN"/>
        </w:rPr>
        <w:t xml:space="preserve"> </w:t>
      </w:r>
      <w:r w:rsidRPr="00F87C6B">
        <w:rPr>
          <w:rFonts w:ascii="Times New Roman" w:eastAsia="DengXian" w:hAnsi="Times New Roman" w:cs="Times New Roman"/>
          <w:lang w:eastAsia="zh-CN"/>
        </w:rPr>
        <w:t>meanings as defined in the Announcements unless the context otherwise requires.</w:t>
      </w:r>
    </w:p>
    <w:p w14:paraId="07CC264F" w14:textId="77777777" w:rsidR="00BB0E9E" w:rsidRPr="00233643" w:rsidRDefault="00BB0E9E" w:rsidP="00BB0E9E">
      <w:pPr>
        <w:widowControl/>
        <w:spacing w:after="0" w:line="240" w:lineRule="auto"/>
        <w:jc w:val="both"/>
        <w:rPr>
          <w:rFonts w:ascii="Times New Roman" w:eastAsia="Times New Roman" w:hAnsi="Times New Roman" w:cs="Times New Roman"/>
          <w:b/>
          <w:kern w:val="0"/>
          <w14:ligatures w14:val="none"/>
        </w:rPr>
      </w:pPr>
      <w:r w:rsidRPr="00233643">
        <w:rPr>
          <w:rFonts w:ascii="Times New Roman" w:eastAsia="Times New Roman" w:hAnsi="Times New Roman" w:cs="Times New Roman"/>
          <w:b/>
          <w:kern w:val="0"/>
          <w14:ligatures w14:val="none"/>
        </w:rPr>
        <w:t>RESUMPTION GUIDANCE</w:t>
      </w:r>
    </w:p>
    <w:p w14:paraId="3DE646F1" w14:textId="77777777" w:rsidR="00BB0E9E" w:rsidRPr="00233643" w:rsidRDefault="00BB0E9E" w:rsidP="00BB0E9E">
      <w:pPr>
        <w:jc w:val="both"/>
        <w:rPr>
          <w:rFonts w:ascii="Times New Roman" w:eastAsia="DengXian" w:hAnsi="Times New Roman" w:cs="Times New Roman"/>
          <w:lang w:eastAsia="zh-CN"/>
        </w:rPr>
      </w:pPr>
      <w:r w:rsidRPr="007D13D2">
        <w:rPr>
          <w:rFonts w:ascii="Times New Roman" w:hAnsi="Times New Roman" w:cs="Times New Roman"/>
        </w:rPr>
        <w:t>On 2</w:t>
      </w:r>
      <w:r w:rsidRPr="007D13D2">
        <w:rPr>
          <w:rFonts w:ascii="Times New Roman" w:eastAsia="DengXian" w:hAnsi="Times New Roman" w:cs="Times New Roman"/>
          <w:lang w:eastAsia="zh-CN"/>
        </w:rPr>
        <w:t>1</w:t>
      </w:r>
      <w:r w:rsidRPr="007D13D2">
        <w:rPr>
          <w:rFonts w:ascii="Times New Roman" w:hAnsi="Times New Roman" w:cs="Times New Roman"/>
        </w:rPr>
        <w:t xml:space="preserve"> Ju</w:t>
      </w:r>
      <w:r w:rsidRPr="007D13D2">
        <w:rPr>
          <w:rFonts w:ascii="Times New Roman" w:eastAsia="DengXian" w:hAnsi="Times New Roman" w:cs="Times New Roman"/>
          <w:lang w:eastAsia="zh-CN"/>
        </w:rPr>
        <w:t>ly</w:t>
      </w:r>
      <w:r w:rsidRPr="007D13D2">
        <w:rPr>
          <w:rFonts w:ascii="Times New Roman" w:hAnsi="Times New Roman" w:cs="Times New Roman"/>
        </w:rPr>
        <w:t xml:space="preserve"> 202</w:t>
      </w:r>
      <w:r w:rsidRPr="007D13D2">
        <w:rPr>
          <w:rFonts w:ascii="Times New Roman" w:eastAsia="DengXian" w:hAnsi="Times New Roman" w:cs="Times New Roman"/>
          <w:lang w:eastAsia="zh-CN"/>
        </w:rPr>
        <w:t>5</w:t>
      </w:r>
      <w:r w:rsidRPr="007D13D2">
        <w:rPr>
          <w:rFonts w:ascii="Times New Roman" w:hAnsi="Times New Roman" w:cs="Times New Roman"/>
        </w:rPr>
        <w:t>, the Company received a letter from the Stock Exchange setting out the following guidance</w:t>
      </w:r>
      <w:r>
        <w:rPr>
          <w:rFonts w:ascii="Times New Roman" w:hAnsi="Times New Roman" w:cs="Times New Roman"/>
        </w:rPr>
        <w:t xml:space="preserve"> </w:t>
      </w:r>
      <w:r w:rsidRPr="007D13D2">
        <w:rPr>
          <w:rFonts w:ascii="Times New Roman" w:hAnsi="Times New Roman" w:cs="Times New Roman"/>
        </w:rPr>
        <w:t>(the “</w:t>
      </w:r>
      <w:r w:rsidRPr="00233643">
        <w:rPr>
          <w:rFonts w:ascii="Times New Roman" w:hAnsi="Times New Roman" w:cs="Times New Roman"/>
          <w:b/>
        </w:rPr>
        <w:t>Resumption Guidance</w:t>
      </w:r>
      <w:r w:rsidRPr="007D13D2">
        <w:rPr>
          <w:rFonts w:ascii="Times New Roman" w:hAnsi="Times New Roman" w:cs="Times New Roman"/>
        </w:rPr>
        <w:t>”) for the resumption of trading in the shares of the Company:</w:t>
      </w:r>
    </w:p>
    <w:p w14:paraId="463C65C4" w14:textId="77777777" w:rsidR="00BB0E9E" w:rsidRPr="007D13D2" w:rsidRDefault="00BB0E9E" w:rsidP="00BB0E9E">
      <w:pPr>
        <w:pStyle w:val="ListParagraph"/>
        <w:numPr>
          <w:ilvl w:val="0"/>
          <w:numId w:val="1"/>
        </w:numPr>
        <w:jc w:val="both"/>
        <w:rPr>
          <w:rFonts w:ascii="Times New Roman" w:eastAsia="DengXian" w:hAnsi="Times New Roman" w:cs="Times New Roman"/>
          <w:lang w:eastAsia="zh-CN"/>
        </w:rPr>
      </w:pPr>
      <w:r w:rsidRPr="007D13D2">
        <w:rPr>
          <w:rFonts w:ascii="Times New Roman" w:eastAsia="DengXian" w:hAnsi="Times New Roman" w:cs="Times New Roman"/>
          <w:lang w:eastAsia="zh-CN"/>
        </w:rPr>
        <w:t xml:space="preserve">conduct an independent forensic investigation with a view to identify any potential misuse or misappropriation of funds and assets, </w:t>
      </w:r>
      <w:proofErr w:type="spellStart"/>
      <w:r w:rsidRPr="007D13D2">
        <w:rPr>
          <w:rFonts w:ascii="Times New Roman" w:eastAsia="DengXian" w:hAnsi="Times New Roman" w:cs="Times New Roman"/>
          <w:lang w:eastAsia="zh-CN"/>
        </w:rPr>
        <w:t>unauthorised</w:t>
      </w:r>
      <w:proofErr w:type="spellEnd"/>
      <w:r w:rsidRPr="007D13D2">
        <w:rPr>
          <w:rFonts w:ascii="Times New Roman" w:eastAsia="DengXian" w:hAnsi="Times New Roman" w:cs="Times New Roman"/>
          <w:lang w:eastAsia="zh-CN"/>
        </w:rPr>
        <w:t xml:space="preserve"> transactions and/or Listing Rules non-compliances, including but not limited to the matters relating to the </w:t>
      </w:r>
      <w:proofErr w:type="spellStart"/>
      <w:r w:rsidRPr="007D13D2">
        <w:rPr>
          <w:rFonts w:ascii="Times New Roman" w:eastAsia="DengXian" w:hAnsi="Times New Roman" w:cs="Times New Roman"/>
          <w:lang w:eastAsia="zh-CN"/>
        </w:rPr>
        <w:t>Unauthorised</w:t>
      </w:r>
      <w:proofErr w:type="spellEnd"/>
      <w:r w:rsidRPr="007D13D2">
        <w:rPr>
          <w:rFonts w:ascii="Times New Roman" w:eastAsia="DengXian" w:hAnsi="Times New Roman" w:cs="Times New Roman"/>
          <w:lang w:eastAsia="zh-CN"/>
        </w:rPr>
        <w:t xml:space="preserve"> Transactions, the Undisclosed Claims, the Reclassifications and the Other Losses; and assess the impact on the Company’s business operations and financial position; announce the findings; and take appropriate remedial actions; </w:t>
      </w:r>
    </w:p>
    <w:p w14:paraId="1618DE5B" w14:textId="77777777" w:rsidR="00BB0E9E" w:rsidRPr="007D13D2" w:rsidRDefault="00BB0E9E" w:rsidP="00BB0E9E">
      <w:pPr>
        <w:pStyle w:val="ListParagraph"/>
        <w:numPr>
          <w:ilvl w:val="0"/>
          <w:numId w:val="1"/>
        </w:numPr>
        <w:jc w:val="both"/>
        <w:rPr>
          <w:rFonts w:ascii="Times New Roman" w:eastAsia="DengXian" w:hAnsi="Times New Roman" w:cs="Times New Roman"/>
          <w:lang w:eastAsia="zh-CN"/>
        </w:rPr>
      </w:pPr>
      <w:r w:rsidRPr="007D13D2">
        <w:rPr>
          <w:rFonts w:ascii="Times New Roman" w:eastAsia="DengXian" w:hAnsi="Times New Roman" w:cs="Times New Roman"/>
          <w:lang w:eastAsia="zh-CN"/>
        </w:rPr>
        <w:t xml:space="preserve">demonstrate that there is no reasonable regulatory concern about the integrity, competence and/or character of the Group’s management and/or any </w:t>
      </w:r>
      <w:proofErr w:type="gramStart"/>
      <w:r w:rsidRPr="007D13D2">
        <w:rPr>
          <w:rFonts w:ascii="Times New Roman" w:eastAsia="DengXian" w:hAnsi="Times New Roman" w:cs="Times New Roman"/>
          <w:lang w:eastAsia="zh-CN"/>
        </w:rPr>
        <w:t>persons</w:t>
      </w:r>
      <w:proofErr w:type="gramEnd"/>
      <w:r w:rsidRPr="007D13D2">
        <w:rPr>
          <w:rFonts w:ascii="Times New Roman" w:eastAsia="DengXian" w:hAnsi="Times New Roman" w:cs="Times New Roman"/>
          <w:lang w:eastAsia="zh-CN"/>
        </w:rPr>
        <w:t xml:space="preserve"> with substantial influence over the Company’s management and operations, which may pose a risk to investors and damage market </w:t>
      </w:r>
      <w:proofErr w:type="gramStart"/>
      <w:r w:rsidRPr="007D13D2">
        <w:rPr>
          <w:rFonts w:ascii="Times New Roman" w:eastAsia="DengXian" w:hAnsi="Times New Roman" w:cs="Times New Roman"/>
          <w:lang w:eastAsia="zh-CN"/>
        </w:rPr>
        <w:t>confidence;</w:t>
      </w:r>
      <w:proofErr w:type="gramEnd"/>
    </w:p>
    <w:p w14:paraId="53170DD8" w14:textId="77777777" w:rsidR="00BB0E9E" w:rsidRPr="007D13D2" w:rsidRDefault="00BB0E9E" w:rsidP="00BB0E9E">
      <w:pPr>
        <w:pStyle w:val="ListParagraph"/>
        <w:numPr>
          <w:ilvl w:val="0"/>
          <w:numId w:val="1"/>
        </w:numPr>
        <w:jc w:val="both"/>
        <w:rPr>
          <w:rFonts w:ascii="Times New Roman" w:eastAsia="DengXian" w:hAnsi="Times New Roman" w:cs="Times New Roman"/>
          <w:lang w:eastAsia="zh-CN"/>
        </w:rPr>
      </w:pPr>
      <w:r w:rsidRPr="007D13D2">
        <w:rPr>
          <w:rFonts w:ascii="Times New Roman" w:eastAsia="DengXian" w:hAnsi="Times New Roman" w:cs="Times New Roman"/>
          <w:lang w:eastAsia="zh-CN"/>
        </w:rPr>
        <w:t xml:space="preserve">conduct an independent internal control review and demonstrate that the Company has in place adequate internal controls and procedures to meet its obligations under the Listing </w:t>
      </w:r>
      <w:proofErr w:type="gramStart"/>
      <w:r w:rsidRPr="007D13D2">
        <w:rPr>
          <w:rFonts w:ascii="Times New Roman" w:eastAsia="DengXian" w:hAnsi="Times New Roman" w:cs="Times New Roman"/>
          <w:lang w:eastAsia="zh-CN"/>
        </w:rPr>
        <w:t>Rules;</w:t>
      </w:r>
      <w:proofErr w:type="gramEnd"/>
    </w:p>
    <w:p w14:paraId="367AE791" w14:textId="77777777" w:rsidR="00BB0E9E" w:rsidRDefault="00BB0E9E" w:rsidP="00BB0E9E">
      <w:pPr>
        <w:pStyle w:val="ListParagraph"/>
        <w:numPr>
          <w:ilvl w:val="0"/>
          <w:numId w:val="1"/>
        </w:numPr>
        <w:jc w:val="both"/>
        <w:rPr>
          <w:rFonts w:ascii="Times New Roman" w:eastAsia="DengXian" w:hAnsi="Times New Roman" w:cs="Times New Roman"/>
          <w:lang w:eastAsia="zh-CN"/>
        </w:rPr>
      </w:pPr>
      <w:r w:rsidRPr="007D13D2">
        <w:rPr>
          <w:rFonts w:ascii="Times New Roman" w:eastAsia="DengXian" w:hAnsi="Times New Roman" w:cs="Times New Roman"/>
          <w:lang w:eastAsia="zh-CN"/>
        </w:rPr>
        <w:t xml:space="preserve">demonstrate the Company’s compliance with Rule 13.24; and </w:t>
      </w:r>
    </w:p>
    <w:p w14:paraId="2412862F" w14:textId="77777777" w:rsidR="00BB0E9E" w:rsidRPr="007D13D2" w:rsidRDefault="00BB0E9E" w:rsidP="00BB0E9E">
      <w:pPr>
        <w:pStyle w:val="ListParagraph"/>
        <w:numPr>
          <w:ilvl w:val="0"/>
          <w:numId w:val="1"/>
        </w:numPr>
        <w:jc w:val="both"/>
        <w:rPr>
          <w:rFonts w:ascii="Times New Roman" w:eastAsia="DengXian" w:hAnsi="Times New Roman" w:cs="Times New Roman"/>
          <w:lang w:eastAsia="zh-CN"/>
        </w:rPr>
      </w:pPr>
      <w:r w:rsidRPr="007D13D2">
        <w:rPr>
          <w:rFonts w:ascii="Times New Roman" w:eastAsia="DengXian" w:hAnsi="Times New Roman" w:cs="Times New Roman"/>
          <w:lang w:eastAsia="zh-CN"/>
        </w:rPr>
        <w:t>inform the market of all material information for the Company’s shareholders and other investors to appraise its position.</w:t>
      </w:r>
    </w:p>
    <w:p w14:paraId="75B2911D" w14:textId="77777777" w:rsidR="00BB0E9E" w:rsidRDefault="00BB0E9E" w:rsidP="00BB0E9E">
      <w:pPr>
        <w:pStyle w:val="ListParagraph"/>
        <w:jc w:val="both"/>
        <w:rPr>
          <w:rFonts w:ascii="Times New Roman" w:eastAsia="DengXian" w:hAnsi="Times New Roman" w:cs="Times New Roman"/>
          <w:lang w:eastAsia="zh-CN"/>
        </w:rPr>
      </w:pPr>
    </w:p>
    <w:p w14:paraId="5E75EFC8" w14:textId="77777777" w:rsidR="00BB0E9E" w:rsidRPr="00233643"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The Company must meet all requirements in the Resumption Guidance, remedy the issues causing its trading suspension and fully comply with the Listing Rules to the Stock Exchange’s satisfaction before trading in its securities is allowed to resume. The Stock Exchange has also indicated that it may modify or supplement the Resumption Guidance if the Company’s situation changes.</w:t>
      </w:r>
    </w:p>
    <w:p w14:paraId="6D7CBB5F"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p>
    <w:p w14:paraId="652D250B" w14:textId="77777777" w:rsidR="00BB0E9E" w:rsidRPr="00AE7914" w:rsidRDefault="00BB0E9E" w:rsidP="00BB0E9E">
      <w:pPr>
        <w:widowControl/>
        <w:spacing w:after="0" w:line="240" w:lineRule="auto"/>
        <w:jc w:val="both"/>
        <w:rPr>
          <w:rFonts w:ascii="Times New Roman" w:eastAsia="Times New Roman" w:hAnsi="Times New Roman" w:cs="Times New Roman"/>
          <w:b/>
          <w:kern w:val="0"/>
          <w14:ligatures w14:val="none"/>
        </w:rPr>
      </w:pPr>
      <w:r w:rsidRPr="00233643">
        <w:rPr>
          <w:rFonts w:ascii="Times New Roman" w:eastAsia="Times New Roman" w:hAnsi="Times New Roman" w:cs="Times New Roman"/>
          <w:b/>
          <w:kern w:val="0"/>
          <w14:ligatures w14:val="none"/>
        </w:rPr>
        <w:t>Further guidance</w:t>
      </w:r>
    </w:p>
    <w:p w14:paraId="0FF308D1" w14:textId="77777777" w:rsidR="00BB0E9E" w:rsidRDefault="00BB0E9E" w:rsidP="00BB0E9E">
      <w:pPr>
        <w:widowControl/>
        <w:jc w:val="both"/>
        <w:rPr>
          <w:rFonts w:ascii="Times New Roman" w:eastAsia="DengXian" w:hAnsi="Times New Roman" w:cs="Times New Roman"/>
          <w:lang w:eastAsia="zh-CN"/>
        </w:rPr>
      </w:pPr>
    </w:p>
    <w:p w14:paraId="79A5EA07" w14:textId="77777777" w:rsidR="00BB0E9E" w:rsidRPr="00233643" w:rsidRDefault="00BB0E9E" w:rsidP="00BB0E9E">
      <w:pPr>
        <w:widowControl/>
        <w:jc w:val="both"/>
        <w:rPr>
          <w:rFonts w:ascii="Times New Roman" w:eastAsia="Times New Roman" w:hAnsi="Times New Roman" w:cs="Times New Roman"/>
          <w:kern w:val="0"/>
          <w14:ligatures w14:val="none"/>
        </w:rPr>
      </w:pPr>
      <w:r w:rsidRPr="00233643">
        <w:rPr>
          <w:rFonts w:ascii="Times New Roman" w:eastAsia="DengXian" w:hAnsi="Times New Roman" w:cs="Times New Roman"/>
          <w:lang w:eastAsia="zh-CN"/>
        </w:rPr>
        <w:t xml:space="preserve">Under Rule 6.01A(1) of the Listing Rules, the Stock Exchange may cancel the listing of any securities that have been suspended from trading for a continuous period of 18 months. In the case of the Company, the 18-month period expires on </w:t>
      </w:r>
      <w:r w:rsidRPr="00233643">
        <w:rPr>
          <w:rFonts w:ascii="Times New Roman" w:eastAsia="DengXian" w:hAnsi="Times New Roman" w:cs="Times New Roman" w:hint="eastAsia"/>
          <w:lang w:eastAsia="zh-CN"/>
        </w:rPr>
        <w:t>8 December</w:t>
      </w:r>
      <w:r w:rsidRPr="00233643">
        <w:rPr>
          <w:rFonts w:ascii="Times New Roman" w:eastAsia="DengXian" w:hAnsi="Times New Roman" w:cs="Times New Roman"/>
          <w:lang w:eastAsia="zh-CN"/>
        </w:rPr>
        <w:t xml:space="preserve"> 202</w:t>
      </w:r>
      <w:r w:rsidRPr="00233643">
        <w:rPr>
          <w:rFonts w:ascii="Times New Roman" w:eastAsia="DengXian" w:hAnsi="Times New Roman" w:cs="Times New Roman" w:hint="eastAsia"/>
          <w:lang w:eastAsia="zh-CN"/>
        </w:rPr>
        <w:t>6</w:t>
      </w:r>
      <w:r w:rsidRPr="00233643">
        <w:rPr>
          <w:rFonts w:ascii="Times New Roman" w:eastAsia="DengXian" w:hAnsi="Times New Roman" w:cs="Times New Roman"/>
          <w:lang w:eastAsia="zh-CN"/>
        </w:rPr>
        <w:t>. If the Company fails to remedy the issues causing its t</w:t>
      </w:r>
      <w:r>
        <w:rPr>
          <w:rFonts w:ascii="Times New Roman" w:eastAsia="DengXian" w:hAnsi="Times New Roman" w:cs="Times New Roman"/>
          <w:lang w:eastAsia="zh-CN"/>
        </w:rPr>
        <w:t xml:space="preserve">rading suspension, </w:t>
      </w:r>
      <w:proofErr w:type="gramStart"/>
      <w:r>
        <w:rPr>
          <w:rFonts w:ascii="Times New Roman" w:eastAsia="DengXian" w:hAnsi="Times New Roman" w:cs="Times New Roman"/>
          <w:lang w:eastAsia="zh-CN"/>
        </w:rPr>
        <w:t>fulfill</w:t>
      </w:r>
      <w:proofErr w:type="gramEnd"/>
      <w:r>
        <w:rPr>
          <w:rFonts w:ascii="Times New Roman" w:eastAsia="DengXian" w:hAnsi="Times New Roman" w:cs="Times New Roman"/>
          <w:lang w:eastAsia="zh-CN"/>
        </w:rPr>
        <w:t xml:space="preserve"> the Resumption G</w:t>
      </w:r>
      <w:r w:rsidRPr="00233643">
        <w:rPr>
          <w:rFonts w:ascii="Times New Roman" w:eastAsia="DengXian" w:hAnsi="Times New Roman" w:cs="Times New Roman"/>
          <w:lang w:eastAsia="zh-CN"/>
        </w:rPr>
        <w:t xml:space="preserve">uidance and fully comply with the Listing Rules to the Stock Exchange’s satisfaction and resume trading in its shares by </w:t>
      </w:r>
      <w:r w:rsidRPr="00233643">
        <w:rPr>
          <w:rFonts w:ascii="Times New Roman" w:eastAsia="DengXian" w:hAnsi="Times New Roman" w:cs="Times New Roman" w:hint="eastAsia"/>
          <w:lang w:eastAsia="zh-CN"/>
        </w:rPr>
        <w:t>8 December</w:t>
      </w:r>
      <w:r w:rsidRPr="00233643">
        <w:rPr>
          <w:rFonts w:ascii="Times New Roman" w:eastAsia="DengXian" w:hAnsi="Times New Roman" w:cs="Times New Roman"/>
          <w:lang w:eastAsia="zh-CN"/>
        </w:rPr>
        <w:t xml:space="preserve"> 202</w:t>
      </w:r>
      <w:r w:rsidRPr="00233643">
        <w:rPr>
          <w:rFonts w:ascii="Times New Roman" w:eastAsia="DengXian" w:hAnsi="Times New Roman" w:cs="Times New Roman" w:hint="eastAsia"/>
          <w:lang w:eastAsia="zh-CN"/>
        </w:rPr>
        <w:t>6</w:t>
      </w:r>
      <w:r w:rsidRPr="00233643">
        <w:rPr>
          <w:rFonts w:ascii="Times New Roman" w:eastAsia="DengXian" w:hAnsi="Times New Roman" w:cs="Times New Roman"/>
          <w:lang w:eastAsia="zh-CN"/>
        </w:rPr>
        <w:t xml:space="preserve">, the Listing Division </w:t>
      </w:r>
      <w:r w:rsidRPr="00233643">
        <w:rPr>
          <w:rFonts w:ascii="Times New Roman" w:eastAsia="Times New Roman" w:hAnsi="Times New Roman" w:cs="Times New Roman"/>
          <w:kern w:val="0"/>
          <w14:ligatures w14:val="none"/>
        </w:rPr>
        <w:t>of the Stock Exchange</w:t>
      </w:r>
      <w:r>
        <w:rPr>
          <w:rFonts w:ascii="Times New Roman" w:eastAsia="Times New Roman" w:hAnsi="Times New Roman" w:cs="Times New Roman"/>
          <w:kern w:val="0"/>
          <w14:ligatures w14:val="none"/>
        </w:rPr>
        <w:t xml:space="preserve"> </w:t>
      </w:r>
      <w:r w:rsidRPr="00233643">
        <w:rPr>
          <w:rFonts w:ascii="Times New Roman" w:eastAsia="DengXian" w:hAnsi="Times New Roman" w:cs="Times New Roman"/>
          <w:lang w:eastAsia="zh-CN"/>
        </w:rPr>
        <w:t xml:space="preserve">will recommend the Listing Committee </w:t>
      </w:r>
      <w:r w:rsidRPr="00233643">
        <w:rPr>
          <w:rFonts w:ascii="Times New Roman" w:eastAsia="Times New Roman" w:hAnsi="Times New Roman" w:cs="Times New Roman"/>
          <w:kern w:val="0"/>
          <w14:ligatures w14:val="none"/>
        </w:rPr>
        <w:t>of the Stock Exchange</w:t>
      </w:r>
      <w:r>
        <w:rPr>
          <w:rFonts w:ascii="Times New Roman" w:eastAsia="Times New Roman" w:hAnsi="Times New Roman" w:cs="Times New Roman"/>
          <w:kern w:val="0"/>
          <w14:ligatures w14:val="none"/>
        </w:rPr>
        <w:t xml:space="preserve"> </w:t>
      </w:r>
      <w:r w:rsidRPr="00233643">
        <w:rPr>
          <w:rFonts w:ascii="Times New Roman" w:eastAsia="DengXian" w:hAnsi="Times New Roman" w:cs="Times New Roman"/>
          <w:lang w:eastAsia="zh-CN"/>
        </w:rPr>
        <w:t>to proceed with the cancellation of the Company’s listing.</w:t>
      </w:r>
      <w:r>
        <w:rPr>
          <w:rFonts w:ascii="Times New Roman" w:eastAsia="DengXian" w:hAnsi="Times New Roman" w:cs="Times New Roman"/>
          <w:lang w:eastAsia="zh-CN"/>
        </w:rPr>
        <w:t xml:space="preserve"> </w:t>
      </w:r>
      <w:r w:rsidRPr="00233643">
        <w:rPr>
          <w:rFonts w:ascii="Times New Roman" w:eastAsia="Times New Roman" w:hAnsi="Times New Roman" w:cs="Times New Roman"/>
          <w:kern w:val="0"/>
          <w14:ligatures w14:val="none"/>
        </w:rPr>
        <w:t>Under Rules 6.01 and 6.10 of the Listing Rules, the Stock Exchange also has the right to impose a shorter specific remedial period or to cancel the listing of the Company immediately, where appropriate.</w:t>
      </w:r>
    </w:p>
    <w:p w14:paraId="6D0FFFE8"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 xml:space="preserve">The Resumption Guidance further stated that the Company must also comply with the Listing Rules and all applicable laws and regulations in Hong Kong and its place of incorporation before resumption. </w:t>
      </w:r>
    </w:p>
    <w:p w14:paraId="19D960BE"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p>
    <w:p w14:paraId="43611D6F" w14:textId="77777777" w:rsidR="00BB0E9E" w:rsidRPr="00233643"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While trading is suspended, the Company is also reminded of its obligations under the Listing Rules including, but not limited to, the following:</w:t>
      </w:r>
    </w:p>
    <w:p w14:paraId="7FB2FEF1" w14:textId="77777777" w:rsidR="00BB0E9E" w:rsidRDefault="00BB0E9E" w:rsidP="00BB0E9E">
      <w:pPr>
        <w:jc w:val="both"/>
        <w:rPr>
          <w:rFonts w:ascii="Times New Roman" w:eastAsia="DengXian" w:hAnsi="Times New Roman" w:cs="Times New Roman"/>
          <w:lang w:eastAsia="zh-CN"/>
        </w:rPr>
      </w:pPr>
    </w:p>
    <w:p w14:paraId="10EB58AB"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 xml:space="preserve">(a) keep the duration of any trading suspension to the shortest possible period as required under Rule 6.05 of the Listing </w:t>
      </w:r>
      <w:proofErr w:type="gramStart"/>
      <w:r w:rsidRPr="00233643">
        <w:rPr>
          <w:rFonts w:ascii="Times New Roman" w:eastAsia="Times New Roman" w:hAnsi="Times New Roman" w:cs="Times New Roman"/>
          <w:kern w:val="0"/>
          <w14:ligatures w14:val="none"/>
        </w:rPr>
        <w:t>Rules;</w:t>
      </w:r>
      <w:proofErr w:type="gramEnd"/>
      <w:r w:rsidRPr="00233643">
        <w:rPr>
          <w:rFonts w:ascii="Times New Roman" w:eastAsia="Times New Roman" w:hAnsi="Times New Roman" w:cs="Times New Roman"/>
          <w:kern w:val="0"/>
          <w14:ligatures w14:val="none"/>
        </w:rPr>
        <w:t xml:space="preserve"> </w:t>
      </w:r>
    </w:p>
    <w:p w14:paraId="2FB54800"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 xml:space="preserve">(b) comply with its continuing obligations under the Listing Rules at all times, for example, those applying to notifiable and/or connected transactions under Chapters 14 and 14A of the Listing Rules and publication of periodic financial results and reports and, if they are not available, management accounts under Rules 13.46 to 13.49 of the Listing </w:t>
      </w:r>
      <w:proofErr w:type="gramStart"/>
      <w:r w:rsidRPr="00233643">
        <w:rPr>
          <w:rFonts w:ascii="Times New Roman" w:eastAsia="Times New Roman" w:hAnsi="Times New Roman" w:cs="Times New Roman"/>
          <w:kern w:val="0"/>
          <w14:ligatures w14:val="none"/>
        </w:rPr>
        <w:t>Rules;</w:t>
      </w:r>
      <w:proofErr w:type="gramEnd"/>
      <w:r w:rsidRPr="00233643">
        <w:rPr>
          <w:rFonts w:ascii="Times New Roman" w:eastAsia="Times New Roman" w:hAnsi="Times New Roman" w:cs="Times New Roman"/>
          <w:kern w:val="0"/>
          <w14:ligatures w14:val="none"/>
        </w:rPr>
        <w:t xml:space="preserve"> </w:t>
      </w:r>
    </w:p>
    <w:p w14:paraId="58980476"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(c) announce inside information required to be disclosed under Part XIVA of the SFO; and</w:t>
      </w:r>
    </w:p>
    <w:p w14:paraId="5AF00240" w14:textId="77777777" w:rsidR="00BB0E9E" w:rsidRPr="00233643"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(d) announce quarterly updates on its developments under Rule 13.24A of the Listing Rules including, among other relevant matters:</w:t>
      </w:r>
    </w:p>
    <w:p w14:paraId="449333DB"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w:t>
      </w:r>
      <w:proofErr w:type="spellStart"/>
      <w:r w:rsidRPr="00233643">
        <w:rPr>
          <w:rFonts w:ascii="Times New Roman" w:eastAsia="Times New Roman" w:hAnsi="Times New Roman" w:cs="Times New Roman"/>
          <w:kern w:val="0"/>
          <w14:ligatures w14:val="none"/>
        </w:rPr>
        <w:t>i</w:t>
      </w:r>
      <w:proofErr w:type="spellEnd"/>
      <w:r w:rsidRPr="00233643">
        <w:rPr>
          <w:rFonts w:ascii="Times New Roman" w:eastAsia="Times New Roman" w:hAnsi="Times New Roman" w:cs="Times New Roman"/>
          <w:kern w:val="0"/>
          <w14:ligatures w14:val="none"/>
        </w:rPr>
        <w:t xml:space="preserve">) its business </w:t>
      </w:r>
      <w:proofErr w:type="gramStart"/>
      <w:r w:rsidRPr="00233643">
        <w:rPr>
          <w:rFonts w:ascii="Times New Roman" w:eastAsia="Times New Roman" w:hAnsi="Times New Roman" w:cs="Times New Roman"/>
          <w:kern w:val="0"/>
          <w14:ligatures w14:val="none"/>
        </w:rPr>
        <w:t>operations;</w:t>
      </w:r>
      <w:proofErr w:type="gramEnd"/>
      <w:r w:rsidRPr="00233643">
        <w:rPr>
          <w:rFonts w:ascii="Times New Roman" w:eastAsia="Times New Roman" w:hAnsi="Times New Roman" w:cs="Times New Roman"/>
          <w:kern w:val="0"/>
          <w14:ligatures w14:val="none"/>
        </w:rPr>
        <w:t xml:space="preserve"> </w:t>
      </w:r>
    </w:p>
    <w:p w14:paraId="5E3933E5"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 xml:space="preserve">(ii) its resumption plan with details of actions that it has taken and intends to take to remedy the issues causing its trading suspension, fulfil the Resumption Guidance and fully comply with the Listing Rules and resume trading. The resumption plan should be accompanied with a clear timeframe in respect of each stage of work under the plan with a view that the Resumption Guidance can be fulfilled and trading can resume as soon as practicable and, in any event before the 18-month period expires; (iii) the progress of implementing its resumption plan; and </w:t>
      </w:r>
    </w:p>
    <w:p w14:paraId="5388C224" w14:textId="77777777" w:rsidR="00BB0E9E" w:rsidRPr="00233643"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(iv) details of any material change to the resumption plan and, in the case of delay, the reasons and impact of such delay.</w:t>
      </w:r>
    </w:p>
    <w:p w14:paraId="408CB2C6" w14:textId="77777777" w:rsidR="00BB0E9E" w:rsidRPr="00233643" w:rsidRDefault="00BB0E9E" w:rsidP="00BB0E9E">
      <w:pPr>
        <w:jc w:val="both"/>
        <w:rPr>
          <w:rFonts w:ascii="Times New Roman" w:eastAsia="DengXian" w:hAnsi="Times New Roman" w:cs="Times New Roman"/>
          <w:lang w:eastAsia="zh-CN"/>
        </w:rPr>
      </w:pPr>
    </w:p>
    <w:p w14:paraId="70B32BA5" w14:textId="77777777" w:rsidR="00BB0E9E" w:rsidRPr="00AE7914" w:rsidRDefault="00BB0E9E" w:rsidP="00BB0E9E">
      <w:pPr>
        <w:widowControl/>
        <w:spacing w:after="0" w:line="240" w:lineRule="auto"/>
        <w:jc w:val="both"/>
        <w:rPr>
          <w:rFonts w:ascii="Times New Roman" w:eastAsia="Times New Roman" w:hAnsi="Times New Roman" w:cs="Times New Roman"/>
          <w:kern w:val="0"/>
          <w14:ligatures w14:val="none"/>
        </w:rPr>
      </w:pPr>
      <w:r w:rsidRPr="00233643">
        <w:rPr>
          <w:rFonts w:ascii="Times New Roman" w:eastAsia="Times New Roman" w:hAnsi="Times New Roman" w:cs="Times New Roman"/>
          <w:kern w:val="0"/>
          <w14:ligatures w14:val="none"/>
        </w:rPr>
        <w:t>The Resumption Guidance further stated t</w:t>
      </w:r>
      <w:r>
        <w:rPr>
          <w:rFonts w:ascii="Times New Roman" w:eastAsia="Times New Roman" w:hAnsi="Times New Roman" w:cs="Times New Roman"/>
          <w:kern w:val="0"/>
          <w14:ligatures w14:val="none"/>
        </w:rPr>
        <w:t xml:space="preserve">hat it is the Company’s primary </w:t>
      </w:r>
      <w:r w:rsidRPr="00233643">
        <w:rPr>
          <w:rFonts w:ascii="Times New Roman" w:eastAsia="Times New Roman" w:hAnsi="Times New Roman" w:cs="Times New Roman"/>
          <w:kern w:val="0"/>
          <w14:ligatures w14:val="none"/>
        </w:rPr>
        <w:t>responsibility to devise its own resumption plan with a timetable setting out the</w:t>
      </w:r>
      <w:r>
        <w:rPr>
          <w:rFonts w:ascii="Times New Roman" w:eastAsia="Times New Roman" w:hAnsi="Times New Roman" w:cs="Times New Roman"/>
          <w:kern w:val="0"/>
          <w14:ligatures w14:val="none"/>
        </w:rPr>
        <w:t xml:space="preserve"> </w:t>
      </w:r>
      <w:r w:rsidRPr="00233643">
        <w:rPr>
          <w:rFonts w:ascii="Times New Roman" w:eastAsia="Times New Roman" w:hAnsi="Times New Roman" w:cs="Times New Roman"/>
          <w:kern w:val="0"/>
          <w14:ligatures w14:val="none"/>
        </w:rPr>
        <w:t>actions that it considers appropriate to fulfil the</w:t>
      </w:r>
      <w:r>
        <w:rPr>
          <w:rFonts w:ascii="Times New Roman" w:eastAsia="Times New Roman" w:hAnsi="Times New Roman" w:cs="Times New Roman"/>
          <w:kern w:val="0"/>
          <w14:ligatures w14:val="none"/>
        </w:rPr>
        <w:t xml:space="preserve"> Resumption Guidance and comply </w:t>
      </w:r>
      <w:r w:rsidRPr="00233643">
        <w:rPr>
          <w:rFonts w:ascii="Times New Roman" w:eastAsia="Times New Roman" w:hAnsi="Times New Roman" w:cs="Times New Roman"/>
          <w:kern w:val="0"/>
          <w14:ligatures w14:val="none"/>
        </w:rPr>
        <w:t>with the Listing Rules, work according to the plan, and announce quarterly updates. Whilst the Company may seek the Stock Exchange’s guidance on its resumption plan, its resumption plan is not subject to the Stock Exchange’s prior approval before implementation.</w:t>
      </w:r>
    </w:p>
    <w:p w14:paraId="249E515A" w14:textId="77777777" w:rsidR="00BB0E9E" w:rsidRDefault="00BB0E9E" w:rsidP="00BB0E9E">
      <w:pPr>
        <w:widowControl/>
        <w:spacing w:after="0" w:line="240" w:lineRule="auto"/>
        <w:jc w:val="both"/>
        <w:rPr>
          <w:rFonts w:ascii="Times New Roman" w:eastAsia="DengXian" w:hAnsi="Times New Roman" w:cs="Times New Roman"/>
          <w:kern w:val="0"/>
          <w:lang w:eastAsia="zh-CN"/>
          <w14:ligatures w14:val="none"/>
        </w:rPr>
      </w:pPr>
    </w:p>
    <w:p w14:paraId="68A3BFA3"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r w:rsidRPr="00593FAA">
        <w:rPr>
          <w:rFonts w:ascii="Times New Roman" w:eastAsia="Times New Roman" w:hAnsi="Times New Roman" w:cs="Times New Roman"/>
          <w:kern w:val="0"/>
          <w14:ligatures w14:val="none"/>
        </w:rPr>
        <w:t xml:space="preserve">When the Company considers that it has fulfilled the resumption, remedied the issues causing its trading suspension and fully complied with the Listing Rules, it should request the Stock Exchange’s confirmation that this is the case and provide the Stock Exchange with sufficient supporting information for assessment. </w:t>
      </w:r>
    </w:p>
    <w:p w14:paraId="6CFBB72A"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p>
    <w:p w14:paraId="0FAEB621"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r w:rsidRPr="00593FAA">
        <w:rPr>
          <w:rFonts w:ascii="Times New Roman" w:eastAsia="Times New Roman" w:hAnsi="Times New Roman" w:cs="Times New Roman"/>
          <w:kern w:val="0"/>
          <w14:ligatures w14:val="none"/>
        </w:rPr>
        <w:t xml:space="preserve">The Company is taking appropriate steps to resolve the issues causing its trading suspension and to fully comply with the Listing Rules to the Stock Exchange’s </w:t>
      </w:r>
      <w:proofErr w:type="gramStart"/>
      <w:r w:rsidRPr="00593FAA">
        <w:rPr>
          <w:rFonts w:ascii="Times New Roman" w:eastAsia="Times New Roman" w:hAnsi="Times New Roman" w:cs="Times New Roman"/>
          <w:kern w:val="0"/>
          <w14:ligatures w14:val="none"/>
        </w:rPr>
        <w:t>satisfaction, and</w:t>
      </w:r>
      <w:proofErr w:type="gramEnd"/>
      <w:r w:rsidRPr="00593FAA">
        <w:rPr>
          <w:rFonts w:ascii="Times New Roman" w:eastAsia="Times New Roman" w:hAnsi="Times New Roman" w:cs="Times New Roman"/>
          <w:kern w:val="0"/>
          <w14:ligatures w14:val="none"/>
        </w:rPr>
        <w:t xml:space="preserve"> will seek to resume trading in its shares as soon as possible. </w:t>
      </w:r>
    </w:p>
    <w:p w14:paraId="3C8DCACF" w14:textId="77777777" w:rsidR="00BB0E9E" w:rsidRDefault="00BB0E9E" w:rsidP="00BB0E9E">
      <w:pPr>
        <w:widowControl/>
        <w:spacing w:after="0" w:line="240" w:lineRule="auto"/>
        <w:jc w:val="both"/>
        <w:rPr>
          <w:rFonts w:ascii="Times New Roman" w:eastAsia="Times New Roman" w:hAnsi="Times New Roman" w:cs="Times New Roman"/>
          <w:kern w:val="0"/>
          <w14:ligatures w14:val="none"/>
        </w:rPr>
      </w:pPr>
    </w:p>
    <w:p w14:paraId="26AA313B" w14:textId="77777777" w:rsidR="00BB0E9E" w:rsidRPr="00593FAA" w:rsidRDefault="00BB0E9E" w:rsidP="00BB0E9E">
      <w:pPr>
        <w:widowControl/>
        <w:spacing w:after="0" w:line="240" w:lineRule="auto"/>
        <w:jc w:val="both"/>
        <w:rPr>
          <w:rFonts w:ascii="Times New Roman" w:eastAsia="Times New Roman" w:hAnsi="Times New Roman" w:cs="Times New Roman"/>
          <w:kern w:val="0"/>
          <w14:ligatures w14:val="none"/>
        </w:rPr>
      </w:pPr>
      <w:r w:rsidRPr="00593FAA">
        <w:rPr>
          <w:rFonts w:ascii="Times New Roman" w:eastAsia="Times New Roman" w:hAnsi="Times New Roman" w:cs="Times New Roman"/>
          <w:kern w:val="0"/>
          <w14:ligatures w14:val="none"/>
        </w:rPr>
        <w:t xml:space="preserve">The Company must announce the first quarterly update on or before </w:t>
      </w:r>
      <w:r>
        <w:rPr>
          <w:rFonts w:ascii="Times New Roman" w:eastAsia="Times New Roman" w:hAnsi="Times New Roman" w:cs="Times New Roman" w:hint="eastAsia"/>
          <w:kern w:val="0"/>
          <w14:ligatures w14:val="none"/>
        </w:rPr>
        <w:t>8 Sep</w:t>
      </w:r>
      <w:r>
        <w:rPr>
          <w:rFonts w:ascii="Times New Roman" w:eastAsia="Times New Roman" w:hAnsi="Times New Roman" w:cs="Times New Roman"/>
          <w:kern w:val="0"/>
          <w14:ligatures w14:val="none"/>
        </w:rPr>
        <w:t>tember</w:t>
      </w:r>
      <w:r w:rsidRPr="00593FAA">
        <w:rPr>
          <w:rFonts w:ascii="Times New Roman" w:eastAsia="Times New Roman" w:hAnsi="Times New Roman" w:cs="Times New Roman"/>
          <w:kern w:val="0"/>
          <w14:ligatures w14:val="none"/>
        </w:rPr>
        <w:t xml:space="preserve"> 2025 and quarterly updates every three (3) months from that date until resumption or cancellation of </w:t>
      </w:r>
      <w:proofErr w:type="gramStart"/>
      <w:r w:rsidRPr="00593FAA">
        <w:rPr>
          <w:rFonts w:ascii="Times New Roman" w:eastAsia="Times New Roman" w:hAnsi="Times New Roman" w:cs="Times New Roman"/>
          <w:kern w:val="0"/>
          <w14:ligatures w14:val="none"/>
        </w:rPr>
        <w:t>listing</w:t>
      </w:r>
      <w:proofErr w:type="gramEnd"/>
      <w:r w:rsidRPr="00593FAA">
        <w:rPr>
          <w:rFonts w:ascii="Times New Roman" w:eastAsia="Times New Roman" w:hAnsi="Times New Roman" w:cs="Times New Roman"/>
          <w:kern w:val="0"/>
          <w14:ligatures w14:val="none"/>
        </w:rPr>
        <w:t xml:space="preserve"> (whichever is earlier).</w:t>
      </w:r>
    </w:p>
    <w:p w14:paraId="6A2F6997" w14:textId="77777777" w:rsidR="00BB0E9E" w:rsidRPr="00AE7914" w:rsidRDefault="00BB0E9E" w:rsidP="00BB0E9E">
      <w:pPr>
        <w:jc w:val="both"/>
        <w:rPr>
          <w:rFonts w:ascii="Times New Roman" w:eastAsia="DengXian" w:hAnsi="Times New Roman" w:cs="Times New Roman"/>
          <w:lang w:eastAsia="zh-CN"/>
        </w:rPr>
      </w:pPr>
    </w:p>
    <w:p w14:paraId="37F2B8CC" w14:textId="77777777" w:rsidR="00BB0E9E" w:rsidRPr="00AE7914" w:rsidRDefault="00BB0E9E" w:rsidP="00BB0E9E">
      <w:pPr>
        <w:jc w:val="both"/>
        <w:rPr>
          <w:rFonts w:ascii="Times New Roman" w:eastAsia="DengXian" w:hAnsi="Times New Roman" w:cs="Times New Roman"/>
          <w:b/>
          <w:bCs/>
          <w:lang w:eastAsia="zh-CN"/>
        </w:rPr>
      </w:pPr>
      <w:r w:rsidRPr="00AE7914">
        <w:rPr>
          <w:rFonts w:ascii="Times New Roman" w:eastAsia="DengXian" w:hAnsi="Times New Roman" w:cs="Times New Roman"/>
          <w:b/>
          <w:bCs/>
          <w:lang w:eastAsia="zh-CN"/>
        </w:rPr>
        <w:t>CONTINUED SUSPENSION OF TRADING</w:t>
      </w:r>
    </w:p>
    <w:p w14:paraId="75A83602" w14:textId="77777777" w:rsidR="00BB0E9E" w:rsidRPr="00AE7914" w:rsidRDefault="00BB0E9E" w:rsidP="00BB0E9E">
      <w:pPr>
        <w:widowControl/>
        <w:jc w:val="both"/>
        <w:rPr>
          <w:rFonts w:ascii="Times New Roman" w:eastAsia="Times New Roman" w:hAnsi="Times New Roman" w:cs="Times New Roman"/>
          <w:kern w:val="0"/>
          <w14:ligatures w14:val="none"/>
        </w:rPr>
      </w:pPr>
      <w:r w:rsidRPr="007D13D2">
        <w:rPr>
          <w:rFonts w:ascii="Times New Roman" w:eastAsia="DengXian" w:hAnsi="Times New Roman" w:cs="Times New Roman"/>
          <w:lang w:eastAsia="zh-CN"/>
        </w:rPr>
        <w:t xml:space="preserve">Trading in the Company’s shares on the Stock Exchange has been suspended since </w:t>
      </w:r>
      <w:r>
        <w:rPr>
          <w:rFonts w:ascii="Times New Roman" w:eastAsia="DengXian" w:hAnsi="Times New Roman" w:cs="Times New Roman" w:hint="eastAsia"/>
          <w:lang w:eastAsia="zh-CN"/>
        </w:rPr>
        <w:t>9 June</w:t>
      </w:r>
      <w:r w:rsidRPr="007D13D2">
        <w:rPr>
          <w:rFonts w:ascii="Times New Roman" w:eastAsia="DengXian" w:hAnsi="Times New Roman" w:cs="Times New Roman"/>
          <w:lang w:eastAsia="zh-CN"/>
        </w:rPr>
        <w:t xml:space="preserve"> 202</w:t>
      </w:r>
      <w:r>
        <w:rPr>
          <w:rFonts w:ascii="Times New Roman" w:eastAsia="DengXian" w:hAnsi="Times New Roman" w:cs="Times New Roman" w:hint="eastAsia"/>
          <w:lang w:eastAsia="zh-CN"/>
        </w:rPr>
        <w:t>5</w:t>
      </w:r>
      <w:r w:rsidRPr="007D13D2">
        <w:rPr>
          <w:rFonts w:ascii="Times New Roman" w:eastAsia="DengXian" w:hAnsi="Times New Roman" w:cs="Times New Roman"/>
          <w:lang w:eastAsia="zh-CN"/>
        </w:rPr>
        <w:t xml:space="preserve"> and will remain suspended until further notice. </w:t>
      </w:r>
      <w:r w:rsidRPr="00AE7914">
        <w:rPr>
          <w:rFonts w:ascii="Times New Roman" w:eastAsia="Times New Roman" w:hAnsi="Times New Roman" w:cs="Times New Roman"/>
          <w:kern w:val="0"/>
          <w14:ligatures w14:val="none"/>
        </w:rPr>
        <w:t>Further announcement(s) will be made by the Company as and when appropriate and in accordance with the requirements of the Listing Rules to keep its shareholders and potential investors informed of the latest progress in complying with the Resumption Guidance.</w:t>
      </w:r>
    </w:p>
    <w:p w14:paraId="512CEB01" w14:textId="77777777" w:rsidR="00BB0E9E" w:rsidRPr="00AE7914" w:rsidRDefault="00BB0E9E" w:rsidP="00BB0E9E">
      <w:pPr>
        <w:jc w:val="both"/>
        <w:rPr>
          <w:rFonts w:ascii="Times New Roman" w:eastAsia="DengXian" w:hAnsi="Times New Roman" w:cs="Times New Roman"/>
          <w:b/>
          <w:bCs/>
          <w:lang w:eastAsia="zh-CN"/>
        </w:rPr>
      </w:pPr>
      <w:r w:rsidRPr="00AE7914">
        <w:rPr>
          <w:rFonts w:ascii="Times New Roman" w:eastAsia="DengXian" w:hAnsi="Times New Roman" w:cs="Times New Roman"/>
          <w:b/>
          <w:bCs/>
          <w:lang w:eastAsia="zh-CN"/>
        </w:rPr>
        <w:t>Shareholders and potential investors should exercise caution when dealing in the securities of the Company.</w:t>
      </w:r>
    </w:p>
    <w:p w14:paraId="43405E01" w14:textId="77777777" w:rsidR="00BB0E9E" w:rsidRDefault="00BB0E9E" w:rsidP="00BB0E9E">
      <w:pPr>
        <w:pStyle w:val="ListParagraph"/>
        <w:rPr>
          <w:rFonts w:ascii="Times New Roman" w:eastAsia="DengXian" w:hAnsi="Times New Roman" w:cs="Times New Roman"/>
          <w:b/>
          <w:bCs/>
          <w:lang w:eastAsia="zh-CN"/>
        </w:rPr>
      </w:pPr>
    </w:p>
    <w:p w14:paraId="176321A2" w14:textId="77777777" w:rsidR="00BB0E9E" w:rsidRPr="005671BB" w:rsidRDefault="00BB0E9E" w:rsidP="00BB0E9E">
      <w:pPr>
        <w:pStyle w:val="ListParagraph"/>
        <w:ind w:firstLineChars="1850" w:firstLine="4440"/>
        <w:rPr>
          <w:rFonts w:ascii="Times New Roman" w:eastAsia="DengXian" w:hAnsi="Times New Roman" w:cs="Times New Roman"/>
          <w:lang w:eastAsia="zh-CN"/>
        </w:rPr>
      </w:pPr>
      <w:r w:rsidRPr="005671BB">
        <w:rPr>
          <w:rFonts w:ascii="Times New Roman" w:eastAsia="DengXian" w:hAnsi="Times New Roman" w:cs="Times New Roman"/>
          <w:lang w:eastAsia="zh-CN"/>
        </w:rPr>
        <w:t xml:space="preserve">By order of the Board </w:t>
      </w:r>
    </w:p>
    <w:p w14:paraId="510E1273" w14:textId="77777777" w:rsidR="00BB0E9E" w:rsidRDefault="00BB0E9E" w:rsidP="00BB0E9E">
      <w:pPr>
        <w:pStyle w:val="ListParagraph"/>
        <w:ind w:right="720"/>
        <w:jc w:val="right"/>
        <w:rPr>
          <w:rFonts w:ascii="Times New Roman" w:eastAsia="DengXian" w:hAnsi="Times New Roman" w:cs="Times New Roman"/>
          <w:b/>
          <w:bCs/>
          <w:lang w:eastAsia="zh-CN"/>
        </w:rPr>
      </w:pPr>
      <w:proofErr w:type="spellStart"/>
      <w:r w:rsidRPr="005671BB">
        <w:rPr>
          <w:rFonts w:ascii="Times New Roman" w:eastAsia="DengXian" w:hAnsi="Times New Roman" w:cs="Times New Roman"/>
          <w:b/>
          <w:bCs/>
          <w:lang w:eastAsia="zh-CN"/>
        </w:rPr>
        <w:t>Huisen</w:t>
      </w:r>
      <w:proofErr w:type="spellEnd"/>
      <w:r w:rsidRPr="005671BB">
        <w:rPr>
          <w:rFonts w:ascii="Times New Roman" w:eastAsia="DengXian" w:hAnsi="Times New Roman" w:cs="Times New Roman"/>
          <w:b/>
          <w:bCs/>
          <w:lang w:eastAsia="zh-CN"/>
        </w:rPr>
        <w:t xml:space="preserve"> Shares Group Limited </w:t>
      </w:r>
    </w:p>
    <w:p w14:paraId="23E6B460" w14:textId="77777777" w:rsidR="00BB0E9E" w:rsidRDefault="00BB0E9E" w:rsidP="00BB0E9E">
      <w:pPr>
        <w:pStyle w:val="ListParagraph"/>
        <w:ind w:firstLineChars="2050" w:firstLine="4920"/>
        <w:rPr>
          <w:rFonts w:ascii="Times New Roman" w:eastAsia="DengXian" w:hAnsi="Times New Roman" w:cs="Times New Roman"/>
          <w:b/>
          <w:bCs/>
          <w:lang w:eastAsia="zh-CN"/>
        </w:rPr>
      </w:pPr>
      <w:r w:rsidRPr="005671BB">
        <w:rPr>
          <w:rFonts w:ascii="Times New Roman" w:eastAsia="DengXian" w:hAnsi="Times New Roman" w:cs="Times New Roman"/>
          <w:b/>
          <w:bCs/>
          <w:lang w:eastAsia="zh-CN"/>
        </w:rPr>
        <w:t xml:space="preserve">Wu </w:t>
      </w:r>
      <w:proofErr w:type="spellStart"/>
      <w:r w:rsidRPr="005671BB">
        <w:rPr>
          <w:rFonts w:ascii="Times New Roman" w:eastAsia="DengXian" w:hAnsi="Times New Roman" w:cs="Times New Roman"/>
          <w:b/>
          <w:bCs/>
          <w:lang w:eastAsia="zh-CN"/>
        </w:rPr>
        <w:t>Runlu</w:t>
      </w:r>
      <w:proofErr w:type="spellEnd"/>
      <w:r w:rsidRPr="005671BB">
        <w:rPr>
          <w:rFonts w:ascii="Times New Roman" w:eastAsia="DengXian" w:hAnsi="Times New Roman" w:cs="Times New Roman"/>
          <w:b/>
          <w:bCs/>
          <w:lang w:eastAsia="zh-CN"/>
        </w:rPr>
        <w:t xml:space="preserve"> </w:t>
      </w:r>
    </w:p>
    <w:p w14:paraId="64A27E3F" w14:textId="77777777" w:rsidR="00BB0E9E" w:rsidRPr="005671BB" w:rsidRDefault="00BB0E9E" w:rsidP="00BB0E9E">
      <w:pPr>
        <w:pStyle w:val="ListParagraph"/>
        <w:ind w:firstLineChars="2100" w:firstLine="5040"/>
        <w:rPr>
          <w:rFonts w:ascii="Times New Roman" w:eastAsia="DengXian" w:hAnsi="Times New Roman" w:cs="Times New Roman"/>
          <w:i/>
          <w:iCs/>
          <w:lang w:eastAsia="zh-CN"/>
        </w:rPr>
      </w:pPr>
      <w:r w:rsidRPr="005671BB">
        <w:rPr>
          <w:rFonts w:ascii="Times New Roman" w:eastAsia="DengXian" w:hAnsi="Times New Roman" w:cs="Times New Roman"/>
          <w:i/>
          <w:iCs/>
          <w:lang w:eastAsia="zh-CN"/>
        </w:rPr>
        <w:t xml:space="preserve">Chairman </w:t>
      </w:r>
    </w:p>
    <w:p w14:paraId="48D219A4" w14:textId="77777777" w:rsidR="00BB0E9E" w:rsidRDefault="00BB0E9E" w:rsidP="00BB0E9E">
      <w:pPr>
        <w:pStyle w:val="ListParagraph"/>
        <w:rPr>
          <w:rFonts w:ascii="Times New Roman" w:eastAsia="DengXian" w:hAnsi="Times New Roman" w:cs="Times New Roman"/>
          <w:lang w:eastAsia="zh-CN"/>
        </w:rPr>
      </w:pPr>
    </w:p>
    <w:p w14:paraId="3F2E91DA" w14:textId="77777777" w:rsidR="00BB0E9E" w:rsidRPr="005671BB" w:rsidRDefault="00BB0E9E" w:rsidP="00BB0E9E">
      <w:pPr>
        <w:pStyle w:val="ListParagraph"/>
        <w:rPr>
          <w:rFonts w:ascii="Times New Roman" w:eastAsia="DengXian" w:hAnsi="Times New Roman" w:cs="Times New Roman"/>
          <w:lang w:eastAsia="zh-CN"/>
        </w:rPr>
      </w:pPr>
      <w:r w:rsidRPr="005671BB">
        <w:rPr>
          <w:rFonts w:ascii="Times New Roman" w:eastAsia="DengXian" w:hAnsi="Times New Roman" w:cs="Times New Roman"/>
          <w:lang w:eastAsia="zh-CN"/>
        </w:rPr>
        <w:t xml:space="preserve">Hong Kong, </w:t>
      </w:r>
      <w:r>
        <w:rPr>
          <w:rFonts w:ascii="Times New Roman" w:eastAsia="DengXian" w:hAnsi="Times New Roman" w:cs="Times New Roman" w:hint="eastAsia"/>
          <w:lang w:eastAsia="zh-CN"/>
        </w:rPr>
        <w:t>28</w:t>
      </w:r>
      <w:r w:rsidRPr="005671BB">
        <w:rPr>
          <w:rFonts w:ascii="Times New Roman" w:eastAsia="DengXian" w:hAnsi="Times New Roman" w:cs="Times New Roman"/>
          <w:lang w:eastAsia="zh-CN"/>
        </w:rPr>
        <w:t xml:space="preserve"> </w:t>
      </w:r>
      <w:r>
        <w:rPr>
          <w:rFonts w:ascii="Times New Roman" w:eastAsia="DengXian" w:hAnsi="Times New Roman" w:cs="Times New Roman" w:hint="eastAsia"/>
          <w:lang w:eastAsia="zh-CN"/>
        </w:rPr>
        <w:t>July</w:t>
      </w:r>
      <w:r w:rsidRPr="005671BB">
        <w:rPr>
          <w:rFonts w:ascii="Times New Roman" w:eastAsia="DengXian" w:hAnsi="Times New Roman" w:cs="Times New Roman"/>
          <w:lang w:eastAsia="zh-CN"/>
        </w:rPr>
        <w:t xml:space="preserve"> 2025 </w:t>
      </w:r>
    </w:p>
    <w:p w14:paraId="789E39E6" w14:textId="77777777" w:rsidR="00BB0E9E" w:rsidRDefault="00BB0E9E" w:rsidP="00BB0E9E">
      <w:pPr>
        <w:pStyle w:val="ListParagraph"/>
        <w:rPr>
          <w:rFonts w:ascii="Times New Roman" w:eastAsia="DengXian" w:hAnsi="Times New Roman" w:cs="Times New Roman"/>
          <w:i/>
          <w:iCs/>
          <w:lang w:eastAsia="zh-CN"/>
        </w:rPr>
      </w:pPr>
    </w:p>
    <w:p w14:paraId="248E7D76" w14:textId="3E0100FD" w:rsidR="00BB0E9E" w:rsidRPr="00BB0E9E" w:rsidRDefault="00961795">
      <w:r w:rsidRPr="00961795">
        <w:rPr>
          <w:rFonts w:ascii="Times New Roman" w:eastAsia="DengXian" w:hAnsi="Times New Roman" w:cs="Times New Roman"/>
          <w:i/>
          <w:iCs/>
          <w:lang w:eastAsia="zh-CN"/>
        </w:rPr>
        <w:t xml:space="preserve">As at the date of this announcement, the Board comprises Mr. Wu </w:t>
      </w:r>
      <w:proofErr w:type="spellStart"/>
      <w:r w:rsidRPr="00961795">
        <w:rPr>
          <w:rFonts w:ascii="Times New Roman" w:eastAsia="DengXian" w:hAnsi="Times New Roman" w:cs="Times New Roman"/>
          <w:i/>
          <w:iCs/>
          <w:lang w:eastAsia="zh-CN"/>
        </w:rPr>
        <w:t>Runlu</w:t>
      </w:r>
      <w:proofErr w:type="spellEnd"/>
      <w:r w:rsidRPr="00961795">
        <w:rPr>
          <w:rFonts w:ascii="Times New Roman" w:eastAsia="DengXian" w:hAnsi="Times New Roman" w:cs="Times New Roman"/>
          <w:i/>
          <w:iCs/>
          <w:lang w:eastAsia="zh-CN"/>
        </w:rPr>
        <w:t xml:space="preserve"> and Ms. Zeng </w:t>
      </w:r>
      <w:proofErr w:type="spellStart"/>
      <w:r w:rsidRPr="00961795">
        <w:rPr>
          <w:rFonts w:ascii="Times New Roman" w:eastAsia="DengXian" w:hAnsi="Times New Roman" w:cs="Times New Roman"/>
          <w:i/>
          <w:iCs/>
          <w:lang w:eastAsia="zh-CN"/>
        </w:rPr>
        <w:t>Minglan</w:t>
      </w:r>
      <w:proofErr w:type="spellEnd"/>
      <w:r w:rsidRPr="00961795">
        <w:rPr>
          <w:rFonts w:ascii="Times New Roman" w:eastAsia="DengXian" w:hAnsi="Times New Roman" w:cs="Times New Roman"/>
          <w:i/>
          <w:iCs/>
          <w:lang w:eastAsia="zh-CN"/>
        </w:rPr>
        <w:t xml:space="preserve"> as executive directors, Mr. Ngok Ho Wai and Mr. Liu Jiong and Mr. Feng </w:t>
      </w:r>
      <w:proofErr w:type="spellStart"/>
      <w:r w:rsidRPr="00961795">
        <w:rPr>
          <w:rFonts w:ascii="Times New Roman" w:eastAsia="DengXian" w:hAnsi="Times New Roman" w:cs="Times New Roman"/>
          <w:i/>
          <w:iCs/>
          <w:lang w:eastAsia="zh-CN"/>
        </w:rPr>
        <w:t>Zhaowei</w:t>
      </w:r>
      <w:proofErr w:type="spellEnd"/>
      <w:r w:rsidRPr="00961795">
        <w:rPr>
          <w:rFonts w:ascii="Times New Roman" w:eastAsia="DengXian" w:hAnsi="Times New Roman" w:cs="Times New Roman"/>
          <w:i/>
          <w:iCs/>
          <w:lang w:eastAsia="zh-CN"/>
        </w:rPr>
        <w:t xml:space="preserve"> as independent non-executive directors.</w:t>
      </w:r>
    </w:p>
    <w:sectPr w:rsidR="00BB0E9E" w:rsidRPr="00BB0E9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164F"/>
    <w:multiLevelType w:val="hybridMultilevel"/>
    <w:tmpl w:val="39D06E8E"/>
    <w:lvl w:ilvl="0" w:tplc="3A426A8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805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9E"/>
    <w:rsid w:val="00961795"/>
    <w:rsid w:val="009B1C46"/>
    <w:rsid w:val="00BB0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6D1D"/>
  <w15:chartTrackingRefBased/>
  <w15:docId w15:val="{D55362B6-B726-4EE4-AD4E-6C0BF729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9E"/>
    <w:pPr>
      <w:widowControl w:val="0"/>
    </w:pPr>
  </w:style>
  <w:style w:type="paragraph" w:styleId="Heading1">
    <w:name w:val="heading 1"/>
    <w:basedOn w:val="Normal"/>
    <w:next w:val="Normal"/>
    <w:link w:val="Heading1Char"/>
    <w:uiPriority w:val="9"/>
    <w:qFormat/>
    <w:rsid w:val="00BB0E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BB0E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BB0E9E"/>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BB0E9E"/>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BB0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E9E"/>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BB0E9E"/>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E9E"/>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BB0E9E"/>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E9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BB0E9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B0E9E"/>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B0E9E"/>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BB0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E9E"/>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BB0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E9E"/>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BB0E9E"/>
    <w:rPr>
      <w:rFonts w:eastAsiaTheme="majorEastAsia" w:cstheme="majorBidi"/>
      <w:color w:val="272727" w:themeColor="text1" w:themeTint="D8"/>
    </w:rPr>
  </w:style>
  <w:style w:type="paragraph" w:styleId="Title">
    <w:name w:val="Title"/>
    <w:basedOn w:val="Normal"/>
    <w:next w:val="Normal"/>
    <w:link w:val="TitleChar"/>
    <w:uiPriority w:val="10"/>
    <w:qFormat/>
    <w:rsid w:val="00BB0E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E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E9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B0E9E"/>
    <w:pPr>
      <w:spacing w:before="160"/>
      <w:jc w:val="center"/>
    </w:pPr>
    <w:rPr>
      <w:i/>
      <w:iCs/>
      <w:color w:val="404040" w:themeColor="text1" w:themeTint="BF"/>
    </w:rPr>
  </w:style>
  <w:style w:type="character" w:customStyle="1" w:styleId="QuoteChar">
    <w:name w:val="Quote Char"/>
    <w:basedOn w:val="DefaultParagraphFont"/>
    <w:link w:val="Quote"/>
    <w:uiPriority w:val="29"/>
    <w:rsid w:val="00BB0E9E"/>
    <w:rPr>
      <w:i/>
      <w:iCs/>
      <w:color w:val="404040" w:themeColor="text1" w:themeTint="BF"/>
    </w:rPr>
  </w:style>
  <w:style w:type="paragraph" w:styleId="ListParagraph">
    <w:name w:val="List Paragraph"/>
    <w:basedOn w:val="Normal"/>
    <w:uiPriority w:val="34"/>
    <w:qFormat/>
    <w:rsid w:val="00BB0E9E"/>
    <w:pPr>
      <w:ind w:left="720"/>
      <w:contextualSpacing/>
    </w:pPr>
  </w:style>
  <w:style w:type="character" w:styleId="IntenseEmphasis">
    <w:name w:val="Intense Emphasis"/>
    <w:basedOn w:val="DefaultParagraphFont"/>
    <w:uiPriority w:val="21"/>
    <w:qFormat/>
    <w:rsid w:val="00BB0E9E"/>
    <w:rPr>
      <w:i/>
      <w:iCs/>
      <w:color w:val="0F4761" w:themeColor="accent1" w:themeShade="BF"/>
    </w:rPr>
  </w:style>
  <w:style w:type="paragraph" w:styleId="IntenseQuote">
    <w:name w:val="Intense Quote"/>
    <w:basedOn w:val="Normal"/>
    <w:next w:val="Normal"/>
    <w:link w:val="IntenseQuoteChar"/>
    <w:uiPriority w:val="30"/>
    <w:qFormat/>
    <w:rsid w:val="00BB0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E9E"/>
    <w:rPr>
      <w:i/>
      <w:iCs/>
      <w:color w:val="0F4761" w:themeColor="accent1" w:themeShade="BF"/>
    </w:rPr>
  </w:style>
  <w:style w:type="character" w:styleId="IntenseReference">
    <w:name w:val="Intense Reference"/>
    <w:basedOn w:val="DefaultParagraphFont"/>
    <w:uiPriority w:val="32"/>
    <w:qFormat/>
    <w:rsid w:val="00BB0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celia@onlineprinting.hk</dc:creator>
  <cp:keywords/>
  <dc:description/>
  <cp:lastModifiedBy>celia@onlineprinting.hk</cp:lastModifiedBy>
  <cp:revision>2</cp:revision>
  <dcterms:created xsi:type="dcterms:W3CDTF">2025-07-28T03:43:00Z</dcterms:created>
  <dcterms:modified xsi:type="dcterms:W3CDTF">2025-07-28T03:44:00Z</dcterms:modified>
</cp:coreProperties>
</file>