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A89D" w14:textId="77777777" w:rsidR="00A125C4" w:rsidRDefault="00002EDA">
      <w:pPr>
        <w:spacing w:before="73"/>
        <w:ind w:left="109" w:right="102"/>
        <w:jc w:val="both"/>
        <w:rPr>
          <w:i/>
        </w:rPr>
      </w:pPr>
      <w:r>
        <w:rPr>
          <w:i/>
        </w:rPr>
        <w:t>Hong Kong Exchanges and Clearing Limited and The Stock Exchange of Hong Kong Limited take no responsibility for the contents of this announcement, make no representation as to its accuracy or</w:t>
      </w:r>
      <w:r>
        <w:rPr>
          <w:i/>
          <w:spacing w:val="-14"/>
        </w:rPr>
        <w:t xml:space="preserve"> </w:t>
      </w:r>
      <w:r>
        <w:rPr>
          <w:i/>
        </w:rPr>
        <w:t>completeness</w:t>
      </w:r>
      <w:r>
        <w:rPr>
          <w:i/>
          <w:spacing w:val="-14"/>
        </w:rPr>
        <w:t xml:space="preserve"> </w:t>
      </w:r>
      <w:r>
        <w:rPr>
          <w:i/>
        </w:rPr>
        <w:t>and</w:t>
      </w:r>
      <w:r>
        <w:rPr>
          <w:i/>
          <w:spacing w:val="-14"/>
        </w:rPr>
        <w:t xml:space="preserve"> </w:t>
      </w:r>
      <w:r>
        <w:rPr>
          <w:i/>
        </w:rPr>
        <w:t>expressly</w:t>
      </w:r>
      <w:r>
        <w:rPr>
          <w:i/>
          <w:spacing w:val="-13"/>
        </w:rPr>
        <w:t xml:space="preserve"> </w:t>
      </w:r>
      <w:r>
        <w:rPr>
          <w:i/>
        </w:rPr>
        <w:t>disclaim</w:t>
      </w:r>
      <w:r>
        <w:rPr>
          <w:i/>
          <w:spacing w:val="-14"/>
        </w:rPr>
        <w:t xml:space="preserve"> </w:t>
      </w:r>
      <w:r>
        <w:rPr>
          <w:i/>
        </w:rPr>
        <w:t>any</w:t>
      </w:r>
      <w:r>
        <w:rPr>
          <w:i/>
          <w:spacing w:val="-14"/>
        </w:rPr>
        <w:t xml:space="preserve"> </w:t>
      </w:r>
      <w:r>
        <w:rPr>
          <w:i/>
        </w:rPr>
        <w:t>liability</w:t>
      </w:r>
      <w:r>
        <w:rPr>
          <w:i/>
          <w:spacing w:val="-14"/>
        </w:rPr>
        <w:t xml:space="preserve"> </w:t>
      </w:r>
      <w:r>
        <w:rPr>
          <w:i/>
        </w:rPr>
        <w:t>whatsoever</w:t>
      </w:r>
      <w:r>
        <w:rPr>
          <w:i/>
          <w:spacing w:val="-13"/>
        </w:rPr>
        <w:t xml:space="preserve"> </w:t>
      </w:r>
      <w:r>
        <w:rPr>
          <w:i/>
        </w:rPr>
        <w:t>for</w:t>
      </w:r>
      <w:r>
        <w:rPr>
          <w:i/>
          <w:spacing w:val="-14"/>
        </w:rPr>
        <w:t xml:space="preserve"> </w:t>
      </w:r>
      <w:r>
        <w:rPr>
          <w:i/>
        </w:rPr>
        <w:t>any</w:t>
      </w:r>
      <w:r>
        <w:rPr>
          <w:i/>
          <w:spacing w:val="-14"/>
        </w:rPr>
        <w:t xml:space="preserve"> </w:t>
      </w:r>
      <w:r>
        <w:rPr>
          <w:i/>
        </w:rPr>
        <w:t>loss</w:t>
      </w:r>
      <w:r>
        <w:rPr>
          <w:i/>
          <w:spacing w:val="-14"/>
        </w:rPr>
        <w:t xml:space="preserve"> </w:t>
      </w:r>
      <w:r>
        <w:rPr>
          <w:i/>
        </w:rPr>
        <w:t>howsoever</w:t>
      </w:r>
      <w:r>
        <w:rPr>
          <w:i/>
          <w:spacing w:val="-13"/>
        </w:rPr>
        <w:t xml:space="preserve"> </w:t>
      </w:r>
      <w:r>
        <w:rPr>
          <w:i/>
        </w:rPr>
        <w:t>arising</w:t>
      </w:r>
      <w:r>
        <w:rPr>
          <w:i/>
          <w:spacing w:val="-14"/>
        </w:rPr>
        <w:t xml:space="preserve"> </w:t>
      </w:r>
      <w:r>
        <w:rPr>
          <w:i/>
        </w:rPr>
        <w:t>from or in reliance upon the whole or any part of the contents of this announcement.</w:t>
      </w:r>
    </w:p>
    <w:p w14:paraId="1DD0404C" w14:textId="77777777" w:rsidR="002E2172" w:rsidRDefault="002E2172">
      <w:pPr>
        <w:pStyle w:val="BodyText"/>
        <w:rPr>
          <w:i/>
          <w:sz w:val="20"/>
        </w:rPr>
      </w:pPr>
    </w:p>
    <w:p w14:paraId="683C51CB" w14:textId="1B0B5BDF" w:rsidR="00A125C4" w:rsidRDefault="00002EDA">
      <w:pPr>
        <w:pStyle w:val="BodyText"/>
        <w:rPr>
          <w:i/>
          <w:sz w:val="20"/>
        </w:rPr>
      </w:pPr>
      <w:r>
        <w:rPr>
          <w:noProof/>
          <w:lang w:val="en-GB" w:eastAsia="en-GB"/>
        </w:rPr>
        <w:drawing>
          <wp:anchor distT="0" distB="0" distL="0" distR="0" simplePos="0" relativeHeight="251658240" behindDoc="0" locked="0" layoutInCell="1" allowOverlap="1" wp14:anchorId="5F9D0C22" wp14:editId="26E758FB">
            <wp:simplePos x="0" y="0"/>
            <wp:positionH relativeFrom="page">
              <wp:posOffset>3151758</wp:posOffset>
            </wp:positionH>
            <wp:positionV relativeFrom="paragraph">
              <wp:posOffset>161408</wp:posOffset>
            </wp:positionV>
            <wp:extent cx="1281157" cy="70865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81157" cy="708659"/>
                    </a:xfrm>
                    <a:prstGeom prst="rect">
                      <a:avLst/>
                    </a:prstGeom>
                  </pic:spPr>
                </pic:pic>
              </a:graphicData>
            </a:graphic>
          </wp:anchor>
        </w:drawing>
      </w:r>
    </w:p>
    <w:tbl>
      <w:tblPr>
        <w:tblW w:w="0" w:type="auto"/>
        <w:tblInd w:w="1338" w:type="dxa"/>
        <w:tblLayout w:type="fixed"/>
        <w:tblCellMar>
          <w:left w:w="0" w:type="dxa"/>
          <w:right w:w="0" w:type="dxa"/>
        </w:tblCellMar>
        <w:tblLook w:val="01E0" w:firstRow="1" w:lastRow="1" w:firstColumn="1" w:lastColumn="1" w:noHBand="0" w:noVBand="0"/>
      </w:tblPr>
      <w:tblGrid>
        <w:gridCol w:w="6416"/>
      </w:tblGrid>
      <w:tr w:rsidR="00A125C4" w14:paraId="0A19C99A" w14:textId="77777777">
        <w:trPr>
          <w:trHeight w:val="822"/>
        </w:trPr>
        <w:tc>
          <w:tcPr>
            <w:tcW w:w="6416" w:type="dxa"/>
          </w:tcPr>
          <w:p w14:paraId="6D1AD2E0" w14:textId="77777777" w:rsidR="00A125C4" w:rsidRPr="00371FF5" w:rsidRDefault="00002EDA" w:rsidP="005D1C11">
            <w:pPr>
              <w:pStyle w:val="TableParagraph"/>
              <w:spacing w:line="600" w:lineRule="exact"/>
              <w:ind w:left="731"/>
              <w:jc w:val="left"/>
              <w:rPr>
                <w:rFonts w:ascii="思源宋体 Medium" w:eastAsia="思源宋体 Medium" w:hAnsi="思源宋体 Medium"/>
                <w:b/>
                <w:sz w:val="42"/>
              </w:rPr>
            </w:pPr>
            <w:r w:rsidRPr="00371FF5">
              <w:rPr>
                <w:rFonts w:ascii="思源宋体 Medium" w:eastAsia="思源宋体 Medium" w:hAnsi="思源宋体 Medium"/>
                <w:b/>
                <w:spacing w:val="16"/>
                <w:sz w:val="42"/>
              </w:rPr>
              <w:t>天譽置業 (控股) 有限公司</w:t>
            </w:r>
          </w:p>
          <w:p w14:paraId="11A92E80" w14:textId="77777777" w:rsidR="00A125C4" w:rsidRDefault="00002EDA" w:rsidP="005D1C11">
            <w:pPr>
              <w:pStyle w:val="TableParagraph"/>
              <w:spacing w:line="300" w:lineRule="exact"/>
              <w:ind w:left="726"/>
              <w:jc w:val="left"/>
              <w:rPr>
                <w:b/>
                <w:spacing w:val="-2"/>
                <w:sz w:val="26"/>
              </w:rPr>
            </w:pPr>
            <w:r>
              <w:rPr>
                <w:b/>
                <w:spacing w:val="-2"/>
                <w:sz w:val="26"/>
              </w:rPr>
              <w:t>SKYFAME</w:t>
            </w:r>
            <w:r>
              <w:rPr>
                <w:b/>
                <w:spacing w:val="-10"/>
                <w:sz w:val="26"/>
              </w:rPr>
              <w:t xml:space="preserve"> </w:t>
            </w:r>
            <w:r>
              <w:rPr>
                <w:b/>
                <w:spacing w:val="-2"/>
                <w:sz w:val="26"/>
              </w:rPr>
              <w:t>REALTY</w:t>
            </w:r>
            <w:r>
              <w:rPr>
                <w:b/>
                <w:spacing w:val="-11"/>
                <w:sz w:val="26"/>
              </w:rPr>
              <w:t xml:space="preserve"> </w:t>
            </w:r>
            <w:r>
              <w:rPr>
                <w:b/>
                <w:spacing w:val="-2"/>
                <w:sz w:val="26"/>
              </w:rPr>
              <w:t>(HOLDINGS)</w:t>
            </w:r>
            <w:r>
              <w:rPr>
                <w:b/>
                <w:spacing w:val="-9"/>
                <w:sz w:val="26"/>
              </w:rPr>
              <w:t xml:space="preserve"> </w:t>
            </w:r>
            <w:r>
              <w:rPr>
                <w:b/>
                <w:spacing w:val="-2"/>
                <w:sz w:val="26"/>
              </w:rPr>
              <w:t>LIMITED</w:t>
            </w:r>
          </w:p>
          <w:p w14:paraId="3918DE6D" w14:textId="3691597F" w:rsidR="0080722D" w:rsidRDefault="0080722D" w:rsidP="0080722D">
            <w:pPr>
              <w:pStyle w:val="TableParagraph"/>
              <w:spacing w:line="300" w:lineRule="exact"/>
              <w:ind w:left="0"/>
              <w:rPr>
                <w:b/>
                <w:sz w:val="26"/>
              </w:rPr>
            </w:pPr>
            <w:r>
              <w:rPr>
                <w:bCs/>
                <w:spacing w:val="-2"/>
                <w:sz w:val="24"/>
                <w:szCs w:val="24"/>
              </w:rPr>
              <w:t>(</w:t>
            </w:r>
            <w:r w:rsidR="000A66D9">
              <w:rPr>
                <w:bCs/>
                <w:spacing w:val="-2"/>
                <w:sz w:val="24"/>
                <w:szCs w:val="24"/>
              </w:rPr>
              <w:t>I</w:t>
            </w:r>
            <w:r w:rsidR="00326060">
              <w:rPr>
                <w:rFonts w:eastAsiaTheme="minorEastAsia" w:hint="eastAsia"/>
                <w:bCs/>
                <w:spacing w:val="-2"/>
                <w:sz w:val="24"/>
                <w:szCs w:val="24"/>
                <w:lang w:eastAsia="zh-CN"/>
              </w:rPr>
              <w:t>N LIQUIDATION</w:t>
            </w:r>
            <w:r>
              <w:rPr>
                <w:bCs/>
                <w:spacing w:val="-2"/>
                <w:sz w:val="24"/>
                <w:szCs w:val="24"/>
              </w:rPr>
              <w:t>)</w:t>
            </w:r>
          </w:p>
        </w:tc>
      </w:tr>
      <w:tr w:rsidR="00A125C4" w14:paraId="1306B2D6" w14:textId="77777777">
        <w:trPr>
          <w:trHeight w:val="788"/>
        </w:trPr>
        <w:tc>
          <w:tcPr>
            <w:tcW w:w="6416" w:type="dxa"/>
          </w:tcPr>
          <w:p w14:paraId="1A57CFCC" w14:textId="77777777" w:rsidR="00A125C4" w:rsidRDefault="00002EDA">
            <w:pPr>
              <w:pStyle w:val="TableParagraph"/>
              <w:spacing w:before="12"/>
              <w:ind w:left="46" w:right="50"/>
              <w:rPr>
                <w:i/>
                <w:sz w:val="20"/>
              </w:rPr>
            </w:pPr>
            <w:r>
              <w:rPr>
                <w:i/>
                <w:sz w:val="20"/>
              </w:rPr>
              <w:t>(Incorporated</w:t>
            </w:r>
            <w:r>
              <w:rPr>
                <w:i/>
                <w:spacing w:val="-10"/>
                <w:sz w:val="20"/>
              </w:rPr>
              <w:t xml:space="preserve"> </w:t>
            </w:r>
            <w:r>
              <w:rPr>
                <w:i/>
                <w:sz w:val="20"/>
              </w:rPr>
              <w:t>in</w:t>
            </w:r>
            <w:r>
              <w:rPr>
                <w:i/>
                <w:spacing w:val="-9"/>
                <w:sz w:val="20"/>
              </w:rPr>
              <w:t xml:space="preserve"> </w:t>
            </w:r>
            <w:r>
              <w:rPr>
                <w:i/>
                <w:sz w:val="20"/>
              </w:rPr>
              <w:t>Bermuda</w:t>
            </w:r>
            <w:r>
              <w:rPr>
                <w:i/>
                <w:spacing w:val="-9"/>
                <w:sz w:val="20"/>
              </w:rPr>
              <w:t xml:space="preserve"> </w:t>
            </w:r>
            <w:r>
              <w:rPr>
                <w:i/>
                <w:sz w:val="20"/>
              </w:rPr>
              <w:t>with</w:t>
            </w:r>
            <w:r>
              <w:rPr>
                <w:i/>
                <w:spacing w:val="-8"/>
                <w:sz w:val="20"/>
              </w:rPr>
              <w:t xml:space="preserve"> </w:t>
            </w:r>
            <w:r>
              <w:rPr>
                <w:i/>
                <w:sz w:val="20"/>
              </w:rPr>
              <w:t>limited</w:t>
            </w:r>
            <w:r>
              <w:rPr>
                <w:i/>
                <w:spacing w:val="-8"/>
                <w:sz w:val="20"/>
              </w:rPr>
              <w:t xml:space="preserve"> </w:t>
            </w:r>
            <w:r>
              <w:rPr>
                <w:i/>
                <w:spacing w:val="-2"/>
                <w:sz w:val="20"/>
              </w:rPr>
              <w:t>liability)</w:t>
            </w:r>
          </w:p>
          <w:p w14:paraId="35CB7716" w14:textId="77777777" w:rsidR="00A125C4" w:rsidRDefault="00002EDA">
            <w:pPr>
              <w:pStyle w:val="TableParagraph"/>
              <w:spacing w:line="273" w:lineRule="exact"/>
              <w:ind w:right="50"/>
              <w:rPr>
                <w:b/>
                <w:sz w:val="24"/>
              </w:rPr>
            </w:pPr>
            <w:r>
              <w:rPr>
                <w:b/>
                <w:sz w:val="24"/>
              </w:rPr>
              <w:t>(Stock</w:t>
            </w:r>
            <w:r>
              <w:rPr>
                <w:b/>
                <w:spacing w:val="-4"/>
                <w:sz w:val="24"/>
              </w:rPr>
              <w:t xml:space="preserve"> </w:t>
            </w:r>
            <w:r>
              <w:rPr>
                <w:b/>
                <w:sz w:val="24"/>
              </w:rPr>
              <w:t>Code:</w:t>
            </w:r>
            <w:r>
              <w:rPr>
                <w:b/>
                <w:spacing w:val="-3"/>
                <w:sz w:val="24"/>
              </w:rPr>
              <w:t xml:space="preserve"> </w:t>
            </w:r>
            <w:r>
              <w:rPr>
                <w:b/>
                <w:sz w:val="24"/>
              </w:rPr>
              <w:t>00059</w:t>
            </w:r>
            <w:r>
              <w:rPr>
                <w:b/>
                <w:spacing w:val="-4"/>
                <w:sz w:val="24"/>
              </w:rPr>
              <w:t xml:space="preserve"> </w:t>
            </w:r>
            <w:r>
              <w:rPr>
                <w:b/>
                <w:sz w:val="24"/>
              </w:rPr>
              <w:t>and</w:t>
            </w:r>
            <w:r>
              <w:rPr>
                <w:b/>
                <w:spacing w:val="-4"/>
                <w:sz w:val="24"/>
              </w:rPr>
              <w:t xml:space="preserve"> </w:t>
            </w:r>
            <w:r>
              <w:rPr>
                <w:b/>
                <w:sz w:val="24"/>
              </w:rPr>
              <w:t>Bonds</w:t>
            </w:r>
            <w:r>
              <w:rPr>
                <w:b/>
                <w:spacing w:val="-4"/>
                <w:sz w:val="24"/>
              </w:rPr>
              <w:t xml:space="preserve"> </w:t>
            </w:r>
            <w:r>
              <w:rPr>
                <w:b/>
                <w:sz w:val="24"/>
              </w:rPr>
              <w:t>Stock</w:t>
            </w:r>
            <w:r>
              <w:rPr>
                <w:b/>
                <w:spacing w:val="-4"/>
                <w:sz w:val="24"/>
              </w:rPr>
              <w:t xml:space="preserve"> </w:t>
            </w:r>
            <w:r>
              <w:rPr>
                <w:b/>
                <w:sz w:val="24"/>
              </w:rPr>
              <w:t>Code:</w:t>
            </w:r>
            <w:r>
              <w:rPr>
                <w:b/>
                <w:spacing w:val="-10"/>
                <w:sz w:val="24"/>
              </w:rPr>
              <w:t xml:space="preserve"> </w:t>
            </w:r>
            <w:r>
              <w:rPr>
                <w:b/>
                <w:sz w:val="24"/>
              </w:rPr>
              <w:t>5310,</w:t>
            </w:r>
            <w:r>
              <w:rPr>
                <w:b/>
                <w:spacing w:val="-4"/>
                <w:sz w:val="24"/>
              </w:rPr>
              <w:t xml:space="preserve"> </w:t>
            </w:r>
            <w:r>
              <w:rPr>
                <w:b/>
                <w:spacing w:val="-2"/>
                <w:sz w:val="24"/>
              </w:rPr>
              <w:t>5311,</w:t>
            </w:r>
          </w:p>
          <w:p w14:paraId="566F8553" w14:textId="77777777" w:rsidR="005F507B" w:rsidRDefault="00002EDA">
            <w:pPr>
              <w:pStyle w:val="TableParagraph"/>
              <w:spacing w:line="256" w:lineRule="exact"/>
              <w:ind w:right="48"/>
              <w:rPr>
                <w:b/>
                <w:spacing w:val="-2"/>
                <w:sz w:val="24"/>
              </w:rPr>
            </w:pPr>
            <w:r>
              <w:rPr>
                <w:b/>
                <w:sz w:val="24"/>
              </w:rPr>
              <w:t>5367,</w:t>
            </w:r>
            <w:r>
              <w:rPr>
                <w:b/>
                <w:spacing w:val="-8"/>
                <w:sz w:val="24"/>
              </w:rPr>
              <w:t xml:space="preserve"> </w:t>
            </w:r>
            <w:r>
              <w:rPr>
                <w:b/>
                <w:sz w:val="24"/>
              </w:rPr>
              <w:t>5379,</w:t>
            </w:r>
            <w:r>
              <w:rPr>
                <w:b/>
                <w:spacing w:val="-7"/>
                <w:sz w:val="24"/>
              </w:rPr>
              <w:t xml:space="preserve"> </w:t>
            </w:r>
            <w:r>
              <w:rPr>
                <w:b/>
                <w:sz w:val="24"/>
              </w:rPr>
              <w:t>5567,</w:t>
            </w:r>
            <w:r>
              <w:rPr>
                <w:b/>
                <w:spacing w:val="-8"/>
                <w:sz w:val="24"/>
              </w:rPr>
              <w:t xml:space="preserve"> </w:t>
            </w:r>
            <w:r>
              <w:rPr>
                <w:b/>
                <w:sz w:val="24"/>
              </w:rPr>
              <w:t>5602,</w:t>
            </w:r>
            <w:r>
              <w:rPr>
                <w:b/>
                <w:spacing w:val="-7"/>
                <w:sz w:val="24"/>
              </w:rPr>
              <w:t xml:space="preserve"> </w:t>
            </w:r>
            <w:r>
              <w:rPr>
                <w:b/>
                <w:sz w:val="24"/>
              </w:rPr>
              <w:t>5626</w:t>
            </w:r>
            <w:r>
              <w:rPr>
                <w:b/>
                <w:spacing w:val="-3"/>
                <w:sz w:val="24"/>
              </w:rPr>
              <w:t xml:space="preserve"> </w:t>
            </w:r>
            <w:r>
              <w:rPr>
                <w:b/>
                <w:sz w:val="24"/>
              </w:rPr>
              <w:t>and</w:t>
            </w:r>
            <w:r>
              <w:rPr>
                <w:b/>
                <w:spacing w:val="-8"/>
                <w:sz w:val="24"/>
              </w:rPr>
              <w:t xml:space="preserve"> </w:t>
            </w:r>
            <w:r>
              <w:rPr>
                <w:b/>
                <w:spacing w:val="-2"/>
                <w:sz w:val="24"/>
              </w:rPr>
              <w:t>5855</w:t>
            </w:r>
            <w:r w:rsidR="003462F8">
              <w:rPr>
                <w:b/>
                <w:spacing w:val="-2"/>
                <w:sz w:val="24"/>
              </w:rPr>
              <w:t xml:space="preserve"> </w:t>
            </w:r>
          </w:p>
          <w:p w14:paraId="59A466C0" w14:textId="479E1B1A" w:rsidR="00A125C4" w:rsidRDefault="003462F8">
            <w:pPr>
              <w:pStyle w:val="TableParagraph"/>
              <w:spacing w:line="256" w:lineRule="exact"/>
              <w:ind w:right="48"/>
              <w:rPr>
                <w:b/>
                <w:sz w:val="24"/>
              </w:rPr>
            </w:pPr>
            <w:r>
              <w:rPr>
                <w:b/>
                <w:spacing w:val="-2"/>
                <w:sz w:val="24"/>
              </w:rPr>
              <w:t>(</w:t>
            </w:r>
            <w:r w:rsidR="005F507B">
              <w:rPr>
                <w:b/>
                <w:spacing w:val="-2"/>
                <w:sz w:val="24"/>
              </w:rPr>
              <w:t xml:space="preserve">together </w:t>
            </w:r>
            <w:r>
              <w:rPr>
                <w:b/>
                <w:spacing w:val="-2"/>
                <w:sz w:val="24"/>
              </w:rPr>
              <w:t>the “</w:t>
            </w:r>
            <w:r w:rsidR="005F507B">
              <w:rPr>
                <w:b/>
                <w:spacing w:val="-2"/>
                <w:sz w:val="24"/>
              </w:rPr>
              <w:t>Debt</w:t>
            </w:r>
            <w:r>
              <w:rPr>
                <w:b/>
                <w:spacing w:val="-2"/>
                <w:sz w:val="24"/>
              </w:rPr>
              <w:t>s”)</w:t>
            </w:r>
            <w:r w:rsidR="00002EDA">
              <w:rPr>
                <w:b/>
                <w:spacing w:val="-2"/>
                <w:sz w:val="24"/>
              </w:rPr>
              <w:t>)</w:t>
            </w:r>
          </w:p>
        </w:tc>
      </w:tr>
    </w:tbl>
    <w:p w14:paraId="0307827B" w14:textId="77777777" w:rsidR="00A125C4" w:rsidRDefault="00A125C4">
      <w:pPr>
        <w:pStyle w:val="BodyText"/>
        <w:spacing w:before="10"/>
        <w:rPr>
          <w:i/>
          <w:sz w:val="32"/>
        </w:rPr>
      </w:pPr>
    </w:p>
    <w:p w14:paraId="25FA867A" w14:textId="77777777" w:rsidR="008B1AE4" w:rsidRPr="008B1AE4" w:rsidRDefault="008B1AE4" w:rsidP="008B1AE4">
      <w:pPr>
        <w:pStyle w:val="BodyText"/>
        <w:spacing w:before="10"/>
        <w:jc w:val="center"/>
        <w:rPr>
          <w:rFonts w:eastAsia="PMingLiU"/>
          <w:b/>
          <w:bCs/>
          <w:spacing w:val="-2"/>
          <w:sz w:val="28"/>
          <w:szCs w:val="28"/>
          <w:lang w:eastAsia="zh-TW"/>
        </w:rPr>
      </w:pPr>
      <w:r w:rsidRPr="008B1AE4">
        <w:rPr>
          <w:rFonts w:eastAsia="PMingLiU"/>
          <w:b/>
          <w:bCs/>
          <w:spacing w:val="-2"/>
          <w:sz w:val="28"/>
          <w:szCs w:val="28"/>
          <w:lang w:eastAsia="zh-TW"/>
        </w:rPr>
        <w:t xml:space="preserve">QUARTERLY UPDATE ON RESUMPTION PROGRESS </w:t>
      </w:r>
    </w:p>
    <w:p w14:paraId="1705BD48" w14:textId="77777777" w:rsidR="008B1AE4" w:rsidRPr="008B1AE4" w:rsidRDefault="008B1AE4" w:rsidP="008B1AE4">
      <w:pPr>
        <w:pStyle w:val="BodyText"/>
        <w:spacing w:before="10"/>
        <w:jc w:val="center"/>
        <w:rPr>
          <w:rFonts w:eastAsia="PMingLiU"/>
          <w:b/>
          <w:bCs/>
          <w:spacing w:val="-2"/>
          <w:sz w:val="28"/>
          <w:szCs w:val="28"/>
          <w:lang w:eastAsia="zh-TW"/>
        </w:rPr>
      </w:pPr>
      <w:r w:rsidRPr="008B1AE4">
        <w:rPr>
          <w:rFonts w:eastAsia="PMingLiU"/>
          <w:b/>
          <w:bCs/>
          <w:spacing w:val="-2"/>
          <w:sz w:val="28"/>
          <w:szCs w:val="28"/>
          <w:lang w:eastAsia="zh-TW"/>
        </w:rPr>
        <w:t>AND</w:t>
      </w:r>
    </w:p>
    <w:p w14:paraId="64832FF4" w14:textId="5E5E4DAB" w:rsidR="008340C0" w:rsidRDefault="008B1AE4" w:rsidP="008B1AE4">
      <w:pPr>
        <w:pStyle w:val="BodyText"/>
        <w:spacing w:line="264" w:lineRule="auto"/>
        <w:ind w:left="109" w:right="128"/>
        <w:jc w:val="center"/>
      </w:pPr>
      <w:r w:rsidRPr="008B1AE4">
        <w:rPr>
          <w:rFonts w:eastAsia="PMingLiU"/>
          <w:b/>
          <w:bCs/>
          <w:spacing w:val="-2"/>
          <w:sz w:val="28"/>
          <w:szCs w:val="28"/>
          <w:lang w:eastAsia="zh-TW"/>
        </w:rPr>
        <w:t>CONTINUED SUSPENSION OF TRADING</w:t>
      </w:r>
    </w:p>
    <w:p w14:paraId="46A2A683" w14:textId="77777777" w:rsidR="008B1AE4" w:rsidRDefault="008B1AE4" w:rsidP="008B1AE4">
      <w:pPr>
        <w:pStyle w:val="BodyText"/>
        <w:spacing w:line="264" w:lineRule="auto"/>
        <w:ind w:left="109" w:right="128"/>
        <w:jc w:val="both"/>
        <w:rPr>
          <w:rFonts w:eastAsiaTheme="minorEastAsia"/>
          <w:lang w:eastAsia="zh-CN"/>
        </w:rPr>
      </w:pPr>
      <w:bookmarkStart w:id="0" w:name="_Hlk108531826"/>
    </w:p>
    <w:p w14:paraId="702A5F92" w14:textId="77777777" w:rsidR="002E2172" w:rsidRDefault="002E2172" w:rsidP="008B1AE4">
      <w:pPr>
        <w:pStyle w:val="BodyText"/>
        <w:spacing w:line="264" w:lineRule="auto"/>
        <w:ind w:left="109" w:right="128"/>
        <w:jc w:val="both"/>
        <w:rPr>
          <w:rFonts w:eastAsiaTheme="minorEastAsia"/>
          <w:lang w:eastAsia="zh-CN"/>
        </w:rPr>
      </w:pPr>
    </w:p>
    <w:p w14:paraId="4846A9EB" w14:textId="28D9CD38" w:rsidR="00051172" w:rsidRPr="008B1AE4" w:rsidRDefault="008B1AE4" w:rsidP="008B1AE4">
      <w:pPr>
        <w:pStyle w:val="BodyText"/>
        <w:spacing w:line="264" w:lineRule="auto"/>
        <w:ind w:left="109" w:right="128"/>
        <w:jc w:val="both"/>
      </w:pPr>
      <w:r w:rsidRPr="008B1AE4">
        <w:t>This announcement is made by Skyfame Realty (Holdings) Limited (the “</w:t>
      </w:r>
      <w:r w:rsidRPr="008B1AE4">
        <w:rPr>
          <w:b/>
          <w:bCs/>
        </w:rPr>
        <w:t>Company</w:t>
      </w:r>
      <w:r w:rsidRPr="008B1AE4">
        <w:t>”, together with its subsidiaries, the “</w:t>
      </w:r>
      <w:r w:rsidRPr="008B1AE4">
        <w:rPr>
          <w:b/>
          <w:bCs/>
        </w:rPr>
        <w:t>Group</w:t>
      </w:r>
      <w:r w:rsidRPr="008B1AE4">
        <w:t>”) pursuant to Rule 13.09(2)(a) and 13.24A of the Rules Governing the Listing of Securities (the “Listing Rules”) on The Stock Exchange of Hong Kong Limited (the “</w:t>
      </w:r>
      <w:r w:rsidRPr="008B1AE4">
        <w:rPr>
          <w:b/>
          <w:bCs/>
        </w:rPr>
        <w:t>Stock Exchange</w:t>
      </w:r>
      <w:r w:rsidRPr="008B1AE4">
        <w:t>”) and the Inside Information Provisions (as defined in the Listing Rules) under Part XIVA of the Securities and Futures Ordinance (Chapter 571 of the Laws of Hong Kong).</w:t>
      </w:r>
    </w:p>
    <w:p w14:paraId="4EB83A8F" w14:textId="77777777" w:rsidR="008B1AE4" w:rsidRPr="008B1AE4" w:rsidRDefault="008B1AE4" w:rsidP="00B05A79">
      <w:pPr>
        <w:pStyle w:val="BodyText"/>
        <w:spacing w:line="264" w:lineRule="auto"/>
        <w:ind w:right="128"/>
        <w:jc w:val="both"/>
        <w:rPr>
          <w:rFonts w:eastAsiaTheme="minorEastAsia"/>
          <w:lang w:eastAsia="zh-CN"/>
        </w:rPr>
      </w:pPr>
    </w:p>
    <w:p w14:paraId="653AD393" w14:textId="3DAB2C25" w:rsidR="006B3A92" w:rsidRDefault="00EE1EC6" w:rsidP="00EE1EC6">
      <w:pPr>
        <w:pStyle w:val="BodyText"/>
        <w:spacing w:line="264" w:lineRule="auto"/>
        <w:ind w:left="109" w:right="128"/>
        <w:jc w:val="both"/>
      </w:pPr>
      <w:r>
        <w:t>Reference is made to</w:t>
      </w:r>
      <w:r w:rsidR="00B11349">
        <w:t xml:space="preserve"> </w:t>
      </w:r>
      <w:r>
        <w:t xml:space="preserve">(i) the announcements of the Company dated 13 March 2025, 31 March 2025 and 19 May 2025 regarding, among other things, the delay in publication of the 2024 Annual Results and the suspension of trading in the shares of the Company; </w:t>
      </w:r>
      <w:r w:rsidR="00010E89">
        <w:rPr>
          <w:rFonts w:eastAsiaTheme="minorEastAsia" w:hint="eastAsia"/>
          <w:lang w:eastAsia="zh-CN"/>
        </w:rPr>
        <w:t xml:space="preserve">(ii) </w:t>
      </w:r>
      <w:r w:rsidR="00010E89" w:rsidRPr="000124E4">
        <w:t>the announcements of the Company dated 30 June 2025 and 30 September 2025 in relation to, among other things, the quarterly update on status of resumption</w:t>
      </w:r>
      <w:r w:rsidR="00010E89">
        <w:rPr>
          <w:rFonts w:eastAsiaTheme="minorEastAsia" w:hint="eastAsia"/>
          <w:lang w:eastAsia="zh-CN"/>
        </w:rPr>
        <w:t>;</w:t>
      </w:r>
      <w:r w:rsidR="00010E89">
        <w:t xml:space="preserve"> (i</w:t>
      </w:r>
      <w:r w:rsidR="00E53A50">
        <w:rPr>
          <w:rFonts w:eastAsiaTheme="minorEastAsia" w:hint="eastAsia"/>
          <w:lang w:eastAsia="zh-CN"/>
        </w:rPr>
        <w:t>ii</w:t>
      </w:r>
      <w:r w:rsidR="00010E89">
        <w:t xml:space="preserve">) the announcement of the Company dated </w:t>
      </w:r>
      <w:r w:rsidR="00010E89">
        <w:rPr>
          <w:rFonts w:eastAsiaTheme="minorEastAsia" w:hint="eastAsia"/>
          <w:lang w:eastAsia="zh-CN"/>
        </w:rPr>
        <w:t>24</w:t>
      </w:r>
      <w:r w:rsidR="00010E89">
        <w:t xml:space="preserve"> </w:t>
      </w:r>
      <w:r w:rsidR="00010E89">
        <w:rPr>
          <w:rFonts w:eastAsiaTheme="minorEastAsia" w:hint="eastAsia"/>
          <w:lang w:eastAsia="zh-CN"/>
        </w:rPr>
        <w:t>November</w:t>
      </w:r>
      <w:r w:rsidR="00010E89">
        <w:t xml:space="preserve"> 202</w:t>
      </w:r>
      <w:r w:rsidR="00010E89">
        <w:rPr>
          <w:rFonts w:eastAsiaTheme="minorEastAsia" w:hint="eastAsia"/>
          <w:lang w:eastAsia="zh-CN"/>
        </w:rPr>
        <w:t>4</w:t>
      </w:r>
      <w:r w:rsidR="00010E89">
        <w:t xml:space="preserve"> in relation to the </w:t>
      </w:r>
      <w:r w:rsidR="00010E89">
        <w:rPr>
          <w:rFonts w:eastAsiaTheme="minorEastAsia" w:hint="eastAsia"/>
          <w:lang w:eastAsia="zh-CN"/>
        </w:rPr>
        <w:t>winding up</w:t>
      </w:r>
      <w:r w:rsidR="00010E89">
        <w:t xml:space="preserve"> of </w:t>
      </w:r>
      <w:r w:rsidR="00010E89">
        <w:rPr>
          <w:rFonts w:eastAsiaTheme="minorEastAsia" w:hint="eastAsia"/>
          <w:lang w:eastAsia="zh-CN"/>
        </w:rPr>
        <w:t>Company</w:t>
      </w:r>
      <w:r w:rsidR="00E53A50">
        <w:rPr>
          <w:rFonts w:eastAsiaTheme="minorEastAsia" w:hint="eastAsia"/>
          <w:lang w:eastAsia="zh-CN"/>
        </w:rPr>
        <w:t>; and</w:t>
      </w:r>
      <w:r w:rsidR="00010E89">
        <w:t xml:space="preserve"> </w:t>
      </w:r>
      <w:r>
        <w:t>(i</w:t>
      </w:r>
      <w:r w:rsidR="00E53A50">
        <w:rPr>
          <w:rFonts w:eastAsiaTheme="minorEastAsia" w:hint="eastAsia"/>
          <w:lang w:eastAsia="zh-CN"/>
        </w:rPr>
        <w:t>v</w:t>
      </w:r>
      <w:r>
        <w:t xml:space="preserve">) the announcement of the Company dated </w:t>
      </w:r>
      <w:r w:rsidR="00010E89">
        <w:rPr>
          <w:rFonts w:eastAsiaTheme="minorEastAsia" w:hint="eastAsia"/>
          <w:lang w:eastAsia="zh-CN"/>
        </w:rPr>
        <w:t>5</w:t>
      </w:r>
      <w:r>
        <w:t xml:space="preserve"> </w:t>
      </w:r>
      <w:r w:rsidR="00010E89">
        <w:rPr>
          <w:rFonts w:eastAsiaTheme="minorEastAsia" w:hint="eastAsia"/>
          <w:lang w:eastAsia="zh-CN"/>
        </w:rPr>
        <w:t>December</w:t>
      </w:r>
      <w:r>
        <w:t xml:space="preserve"> 2025 in relation to, among other things, the resumption guidance issued by the Stock Exchange on </w:t>
      </w:r>
      <w:r w:rsidR="00010E89">
        <w:rPr>
          <w:rFonts w:eastAsiaTheme="minorEastAsia" w:hint="eastAsia"/>
          <w:lang w:eastAsia="zh-CN"/>
        </w:rPr>
        <w:t>2</w:t>
      </w:r>
      <w:r w:rsidR="00010E89">
        <w:t xml:space="preserve"> </w:t>
      </w:r>
      <w:r w:rsidR="00010E89">
        <w:rPr>
          <w:rFonts w:eastAsiaTheme="minorEastAsia" w:hint="eastAsia"/>
          <w:lang w:eastAsia="zh-CN"/>
        </w:rPr>
        <w:t>December</w:t>
      </w:r>
      <w:r w:rsidR="00010E89">
        <w:t xml:space="preserve"> 2025</w:t>
      </w:r>
      <w:r w:rsidR="00E53A50">
        <w:rPr>
          <w:rFonts w:eastAsiaTheme="minorEastAsia" w:hint="eastAsia"/>
          <w:lang w:eastAsia="zh-CN"/>
        </w:rPr>
        <w:t xml:space="preserve"> </w:t>
      </w:r>
      <w:r>
        <w:t>(collectively, the “</w:t>
      </w:r>
      <w:r w:rsidRPr="00EE1EC6">
        <w:rPr>
          <w:b/>
          <w:bCs/>
        </w:rPr>
        <w:t>Announcements</w:t>
      </w:r>
      <w:r>
        <w:t>”). Unless otherwise stated, capitalised terms used in this announcement shall have the same meanings as those defined in the Announcements.</w:t>
      </w:r>
    </w:p>
    <w:bookmarkEnd w:id="0"/>
    <w:p w14:paraId="49F680B7" w14:textId="77777777" w:rsidR="00E53A50" w:rsidRDefault="00E53A50" w:rsidP="002E2172">
      <w:pPr>
        <w:pStyle w:val="BodyText"/>
        <w:spacing w:line="264" w:lineRule="auto"/>
        <w:ind w:right="242"/>
        <w:jc w:val="both"/>
        <w:rPr>
          <w:rFonts w:eastAsiaTheme="minorEastAsia"/>
          <w:b/>
          <w:bCs/>
          <w:caps/>
          <w:lang w:eastAsia="zh-CN"/>
        </w:rPr>
      </w:pPr>
    </w:p>
    <w:p w14:paraId="7D24EF00" w14:textId="77777777" w:rsidR="002E2172" w:rsidRDefault="002E2172" w:rsidP="002E2172">
      <w:pPr>
        <w:pStyle w:val="BodyText"/>
        <w:spacing w:line="264" w:lineRule="auto"/>
        <w:ind w:right="242"/>
        <w:jc w:val="both"/>
        <w:rPr>
          <w:rFonts w:eastAsiaTheme="minorEastAsia"/>
          <w:b/>
          <w:bCs/>
          <w:caps/>
          <w:lang w:eastAsia="zh-CN"/>
        </w:rPr>
      </w:pPr>
    </w:p>
    <w:p w14:paraId="2A226264" w14:textId="4F173D6C" w:rsidR="00EE1EC6" w:rsidRDefault="00E53A50" w:rsidP="001C4A16">
      <w:pPr>
        <w:pStyle w:val="BodyText"/>
        <w:spacing w:line="264" w:lineRule="auto"/>
        <w:ind w:left="108" w:right="244"/>
        <w:jc w:val="both"/>
        <w:rPr>
          <w:rFonts w:eastAsiaTheme="minorEastAsia"/>
          <w:b/>
          <w:bCs/>
          <w:caps/>
          <w:lang w:eastAsia="zh-CN"/>
        </w:rPr>
      </w:pPr>
      <w:r w:rsidRPr="00E53A50">
        <w:rPr>
          <w:rFonts w:eastAsiaTheme="minorEastAsia"/>
          <w:b/>
          <w:bCs/>
          <w:caps/>
          <w:lang w:eastAsia="zh-CN"/>
        </w:rPr>
        <w:t>UPDATE ON RESUMPTION PROGRESS</w:t>
      </w:r>
    </w:p>
    <w:p w14:paraId="3580C929" w14:textId="77777777" w:rsidR="00E53A50" w:rsidRDefault="00E53A50" w:rsidP="001C4A16">
      <w:pPr>
        <w:pStyle w:val="BodyText"/>
        <w:spacing w:line="264" w:lineRule="auto"/>
        <w:ind w:left="108" w:right="244"/>
        <w:jc w:val="both"/>
        <w:rPr>
          <w:rFonts w:eastAsiaTheme="minorEastAsia"/>
          <w:b/>
          <w:bCs/>
          <w:caps/>
          <w:lang w:eastAsia="zh-CN"/>
        </w:rPr>
      </w:pPr>
    </w:p>
    <w:p w14:paraId="46B21C6A" w14:textId="25B5F873" w:rsidR="000C4C60" w:rsidRDefault="000C4C60" w:rsidP="001C4A16">
      <w:pPr>
        <w:pStyle w:val="BodyText"/>
        <w:spacing w:line="264" w:lineRule="auto"/>
        <w:ind w:left="108" w:right="244"/>
        <w:jc w:val="both"/>
        <w:rPr>
          <w:rFonts w:eastAsiaTheme="minorEastAsia"/>
          <w:b/>
          <w:bCs/>
          <w:lang w:eastAsia="zh-CN"/>
        </w:rPr>
      </w:pPr>
      <w:r w:rsidRPr="000C4C60">
        <w:rPr>
          <w:rFonts w:eastAsiaTheme="minorEastAsia"/>
          <w:b/>
          <w:bCs/>
          <w:lang w:eastAsia="zh-CN"/>
        </w:rPr>
        <w:t>Restructuring Progress</w:t>
      </w:r>
      <w:r>
        <w:rPr>
          <w:rFonts w:eastAsiaTheme="minorEastAsia"/>
          <w:b/>
          <w:bCs/>
          <w:lang w:eastAsia="zh-CN"/>
        </w:rPr>
        <w:t xml:space="preserve"> and Progress in fulfilling Resumption Guidance</w:t>
      </w:r>
    </w:p>
    <w:p w14:paraId="64AFA008" w14:textId="552A4BA6" w:rsidR="000C4C60" w:rsidRDefault="000C4C60" w:rsidP="001C4A16">
      <w:pPr>
        <w:pStyle w:val="BodyText"/>
        <w:spacing w:line="264" w:lineRule="auto"/>
        <w:ind w:left="108" w:right="244"/>
        <w:jc w:val="both"/>
        <w:rPr>
          <w:rFonts w:eastAsiaTheme="minorEastAsia"/>
          <w:lang w:eastAsia="zh-CN"/>
        </w:rPr>
      </w:pPr>
      <w:r w:rsidRPr="000C4C60">
        <w:rPr>
          <w:rFonts w:eastAsiaTheme="minorEastAsia"/>
          <w:lang w:eastAsia="zh-CN"/>
        </w:rPr>
        <w:t xml:space="preserve">As disclosed in the Company’s announcements dated </w:t>
      </w:r>
      <w:r>
        <w:rPr>
          <w:rFonts w:eastAsiaTheme="minorEastAsia"/>
          <w:lang w:eastAsia="zh-CN"/>
        </w:rPr>
        <w:t>5 December 2025</w:t>
      </w:r>
      <w:r w:rsidRPr="000C4C60">
        <w:rPr>
          <w:rFonts w:eastAsiaTheme="minorEastAsia"/>
          <w:lang w:eastAsia="zh-CN"/>
        </w:rPr>
        <w:t>, the Stock Exchange has set out the Resumption Guidance of the Company as follows:</w:t>
      </w:r>
    </w:p>
    <w:p w14:paraId="2567F17E" w14:textId="77777777" w:rsidR="007A524A" w:rsidRPr="000C4C60" w:rsidRDefault="007A524A" w:rsidP="001C4A16">
      <w:pPr>
        <w:pStyle w:val="BodyText"/>
        <w:spacing w:line="264" w:lineRule="auto"/>
        <w:ind w:left="108" w:right="244"/>
        <w:jc w:val="both"/>
        <w:rPr>
          <w:rFonts w:eastAsiaTheme="minorEastAsia"/>
          <w:lang w:eastAsia="zh-CN"/>
        </w:rPr>
      </w:pPr>
    </w:p>
    <w:p w14:paraId="487F0B8F" w14:textId="7F86DA7E" w:rsidR="000C4C60" w:rsidRDefault="007A524A" w:rsidP="007A524A">
      <w:pPr>
        <w:pStyle w:val="BodyText"/>
        <w:numPr>
          <w:ilvl w:val="0"/>
          <w:numId w:val="2"/>
        </w:numPr>
        <w:spacing w:line="264" w:lineRule="auto"/>
        <w:ind w:right="244"/>
        <w:jc w:val="both"/>
        <w:rPr>
          <w:rFonts w:eastAsiaTheme="minorEastAsia"/>
          <w:lang w:eastAsia="zh-CN"/>
        </w:rPr>
      </w:pPr>
      <w:r w:rsidRPr="007A524A">
        <w:rPr>
          <w:rFonts w:eastAsiaTheme="minorEastAsia"/>
          <w:lang w:eastAsia="zh-CN"/>
        </w:rPr>
        <w:lastRenderedPageBreak/>
        <w:t>have the winding up order made against the Company withdrawn or dismissed and any liquidators discharged;</w:t>
      </w:r>
    </w:p>
    <w:p w14:paraId="4D4F8AA6" w14:textId="79D22A44" w:rsidR="007A524A" w:rsidRDefault="007A524A" w:rsidP="007A524A">
      <w:pPr>
        <w:pStyle w:val="BodyText"/>
        <w:numPr>
          <w:ilvl w:val="0"/>
          <w:numId w:val="2"/>
        </w:numPr>
        <w:spacing w:line="264" w:lineRule="auto"/>
        <w:ind w:right="244"/>
        <w:jc w:val="both"/>
        <w:rPr>
          <w:rFonts w:eastAsiaTheme="minorEastAsia"/>
          <w:lang w:eastAsia="zh-CN"/>
        </w:rPr>
      </w:pPr>
      <w:r>
        <w:rPr>
          <w:rFonts w:eastAsiaTheme="minorEastAsia"/>
          <w:lang w:eastAsia="zh-CN"/>
        </w:rPr>
        <w:t>p</w:t>
      </w:r>
      <w:r w:rsidRPr="007A524A">
        <w:rPr>
          <w:rFonts w:eastAsiaTheme="minorEastAsia"/>
          <w:lang w:eastAsia="zh-CN"/>
        </w:rPr>
        <w:t>ublish all outstanding financial results required under the Listing Rules and address any audit modifications;</w:t>
      </w:r>
    </w:p>
    <w:p w14:paraId="71C0DD12" w14:textId="67A1ED69" w:rsidR="007A524A" w:rsidRDefault="007A524A" w:rsidP="007A524A">
      <w:pPr>
        <w:pStyle w:val="BodyText"/>
        <w:numPr>
          <w:ilvl w:val="0"/>
          <w:numId w:val="2"/>
        </w:numPr>
        <w:spacing w:line="264" w:lineRule="auto"/>
        <w:ind w:right="244"/>
        <w:jc w:val="both"/>
        <w:rPr>
          <w:rFonts w:eastAsiaTheme="minorEastAsia"/>
          <w:lang w:eastAsia="zh-CN"/>
        </w:rPr>
      </w:pPr>
      <w:r>
        <w:rPr>
          <w:rFonts w:eastAsiaTheme="minorEastAsia"/>
          <w:lang w:eastAsia="zh-CN"/>
        </w:rPr>
        <w:t>d</w:t>
      </w:r>
      <w:r w:rsidRPr="007A524A">
        <w:rPr>
          <w:rFonts w:eastAsiaTheme="minorEastAsia"/>
          <w:lang w:eastAsia="zh-CN"/>
        </w:rPr>
        <w:t xml:space="preserve">emonstrate the Company’s compliance with Rule 13.24 of the Listing Rules; </w:t>
      </w:r>
    </w:p>
    <w:p w14:paraId="399AAB37" w14:textId="0FEE0597" w:rsidR="007A524A" w:rsidRDefault="007A524A" w:rsidP="007A524A">
      <w:pPr>
        <w:pStyle w:val="BodyText"/>
        <w:numPr>
          <w:ilvl w:val="0"/>
          <w:numId w:val="2"/>
        </w:numPr>
        <w:spacing w:line="264" w:lineRule="auto"/>
        <w:ind w:right="244"/>
        <w:jc w:val="both"/>
        <w:rPr>
          <w:rFonts w:eastAsiaTheme="minorEastAsia"/>
          <w:lang w:eastAsia="zh-CN"/>
        </w:rPr>
      </w:pPr>
      <w:r>
        <w:rPr>
          <w:rFonts w:eastAsiaTheme="minorEastAsia"/>
          <w:lang w:eastAsia="zh-CN"/>
        </w:rPr>
        <w:t>i</w:t>
      </w:r>
      <w:r w:rsidRPr="007A524A">
        <w:rPr>
          <w:rFonts w:eastAsiaTheme="minorEastAsia"/>
          <w:lang w:eastAsia="zh-CN"/>
        </w:rPr>
        <w:t>nform the market of all material information for the Company’s shareholders and other investors to appraise the Company’s position; and</w:t>
      </w:r>
    </w:p>
    <w:p w14:paraId="2A423357" w14:textId="3C0939F8" w:rsidR="007A524A" w:rsidRDefault="007A524A" w:rsidP="007A524A">
      <w:pPr>
        <w:pStyle w:val="BodyText"/>
        <w:numPr>
          <w:ilvl w:val="0"/>
          <w:numId w:val="2"/>
        </w:numPr>
        <w:spacing w:line="264" w:lineRule="auto"/>
        <w:ind w:right="244"/>
        <w:jc w:val="both"/>
        <w:rPr>
          <w:rFonts w:eastAsiaTheme="minorEastAsia"/>
          <w:lang w:eastAsia="zh-CN"/>
        </w:rPr>
      </w:pPr>
      <w:r>
        <w:rPr>
          <w:rFonts w:eastAsiaTheme="minorEastAsia"/>
          <w:lang w:eastAsia="zh-CN"/>
        </w:rPr>
        <w:t>r</w:t>
      </w:r>
      <w:r w:rsidRPr="007A524A">
        <w:rPr>
          <w:rFonts w:eastAsiaTheme="minorEastAsia"/>
          <w:lang w:eastAsia="zh-CN"/>
        </w:rPr>
        <w:t>e-comply with Rules 3.10(1), 3.10(2), 3.10A, 3.21, 3.25, 3.27A, 3.28 and 13.92 of the Listing Rules.</w:t>
      </w:r>
    </w:p>
    <w:p w14:paraId="5FCA9565" w14:textId="77777777" w:rsidR="007A524A" w:rsidRDefault="007A524A" w:rsidP="007A524A">
      <w:pPr>
        <w:pStyle w:val="BodyText"/>
        <w:spacing w:line="264" w:lineRule="auto"/>
        <w:ind w:left="828" w:right="244"/>
        <w:jc w:val="both"/>
        <w:rPr>
          <w:rFonts w:eastAsiaTheme="minorEastAsia"/>
          <w:lang w:eastAsia="zh-CN"/>
        </w:rPr>
      </w:pPr>
    </w:p>
    <w:p w14:paraId="06D57612" w14:textId="6D050617" w:rsidR="007A524A" w:rsidRDefault="007A524A" w:rsidP="007A524A">
      <w:pPr>
        <w:pStyle w:val="BodyText"/>
        <w:spacing w:line="264" w:lineRule="auto"/>
        <w:ind w:left="108" w:right="244"/>
        <w:jc w:val="both"/>
        <w:rPr>
          <w:rFonts w:eastAsiaTheme="minorEastAsia"/>
          <w:lang w:eastAsia="zh-CN"/>
        </w:rPr>
      </w:pPr>
      <w:r w:rsidRPr="007A524A">
        <w:rPr>
          <w:rFonts w:eastAsiaTheme="minorEastAsia"/>
          <w:lang w:eastAsia="zh-CN"/>
        </w:rPr>
        <w:t xml:space="preserve">The Company must meet all resumption guidance, remedy the issues causing its trading suspension and fully comply with the Listing Rules to the Stock Exchange’s satisfaction before trading in its securities is allowed to resume. For this purpose, the Company has the primary responsibility to devise its action plan for resumption. The Stock Exchange also indicated that it may modify or supplement </w:t>
      </w:r>
      <w:r>
        <w:rPr>
          <w:rFonts w:eastAsiaTheme="minorEastAsia"/>
          <w:lang w:eastAsia="zh-CN"/>
        </w:rPr>
        <w:t xml:space="preserve">the Resumption Guidance </w:t>
      </w:r>
      <w:r w:rsidRPr="007A524A">
        <w:rPr>
          <w:rFonts w:eastAsiaTheme="minorEastAsia"/>
          <w:lang w:eastAsia="zh-CN"/>
        </w:rPr>
        <w:t>if the Company’s situation changes.</w:t>
      </w:r>
    </w:p>
    <w:p w14:paraId="2594CB6F" w14:textId="77777777" w:rsidR="007A524A" w:rsidRDefault="007A524A" w:rsidP="007A524A">
      <w:pPr>
        <w:pStyle w:val="BodyText"/>
        <w:spacing w:line="264" w:lineRule="auto"/>
        <w:ind w:left="108" w:right="244"/>
        <w:jc w:val="both"/>
        <w:rPr>
          <w:rFonts w:eastAsiaTheme="minorEastAsia"/>
          <w:lang w:eastAsia="zh-CN"/>
        </w:rPr>
      </w:pPr>
    </w:p>
    <w:p w14:paraId="19729EDD" w14:textId="0FC619AF" w:rsidR="00E53A50" w:rsidRDefault="007A524A" w:rsidP="007A524A">
      <w:pPr>
        <w:pStyle w:val="BodyText"/>
        <w:spacing w:line="264" w:lineRule="auto"/>
        <w:ind w:left="108" w:right="244"/>
        <w:jc w:val="both"/>
        <w:rPr>
          <w:rFonts w:eastAsiaTheme="minorEastAsia"/>
          <w:lang w:eastAsia="zh-CN"/>
        </w:rPr>
      </w:pPr>
      <w:r w:rsidRPr="007A524A">
        <w:rPr>
          <w:rFonts w:eastAsiaTheme="minorEastAsia"/>
          <w:lang w:eastAsia="zh-CN"/>
        </w:rPr>
        <w:t xml:space="preserve">Under Rule 6.01A(1) of the Listing Rules, the Stock Exchange may cancel the listing of any securities that have been suspended from trading for a continuous period of 18 months. In the case of the Company, the 18-month period expires on </w:t>
      </w:r>
      <w:r>
        <w:rPr>
          <w:rFonts w:eastAsiaTheme="minorEastAsia"/>
          <w:lang w:eastAsia="zh-CN"/>
        </w:rPr>
        <w:t>30 September 2026</w:t>
      </w:r>
      <w:r w:rsidRPr="007A524A">
        <w:rPr>
          <w:rFonts w:eastAsiaTheme="minorEastAsia"/>
          <w:lang w:eastAsia="zh-CN"/>
        </w:rPr>
        <w:t xml:space="preserve">. If the Company fails to remedy the issues causing its trading suspension, fulfil the resumption guidance and fully comply with the Listing Rules to the Stock Exchange’s satisfaction and resume trading in its shares by </w:t>
      </w:r>
      <w:r>
        <w:rPr>
          <w:rFonts w:eastAsiaTheme="minorEastAsia"/>
          <w:lang w:eastAsia="zh-CN"/>
        </w:rPr>
        <w:t>30 September 2026</w:t>
      </w:r>
      <w:r w:rsidRPr="007A524A">
        <w:rPr>
          <w:rFonts w:eastAsiaTheme="minorEastAsia"/>
          <w:lang w:eastAsia="zh-CN"/>
        </w:rPr>
        <w:t>, the Listing Division will recommend the Listing Committee to proceed with the cancellation of the Company’s listing.</w:t>
      </w:r>
    </w:p>
    <w:p w14:paraId="272CF61A" w14:textId="77777777" w:rsidR="007A524A" w:rsidRDefault="007A524A" w:rsidP="007A524A">
      <w:pPr>
        <w:pStyle w:val="BodyText"/>
        <w:spacing w:line="264" w:lineRule="auto"/>
        <w:ind w:right="244"/>
        <w:jc w:val="both"/>
        <w:rPr>
          <w:rFonts w:eastAsiaTheme="minorEastAsia"/>
          <w:lang w:eastAsia="zh-CN"/>
        </w:rPr>
      </w:pPr>
    </w:p>
    <w:p w14:paraId="63F3F54A" w14:textId="34F44BC4" w:rsidR="00873123" w:rsidRDefault="00873123" w:rsidP="001C4A16">
      <w:pPr>
        <w:pStyle w:val="BodyText"/>
        <w:spacing w:line="264" w:lineRule="auto"/>
        <w:ind w:left="108" w:right="244"/>
        <w:jc w:val="both"/>
        <w:rPr>
          <w:rFonts w:eastAsiaTheme="minorEastAsia"/>
          <w:lang w:eastAsia="zh-CN"/>
        </w:rPr>
      </w:pPr>
      <w:r>
        <w:rPr>
          <w:rFonts w:eastAsiaTheme="minorEastAsia"/>
          <w:lang w:eastAsia="zh-CN"/>
        </w:rPr>
        <w:t>As of the day of this announcement, t</w:t>
      </w:r>
      <w:r w:rsidR="00E53A50" w:rsidRPr="00E53A50">
        <w:rPr>
          <w:rFonts w:eastAsiaTheme="minorEastAsia"/>
          <w:lang w:eastAsia="zh-CN"/>
        </w:rPr>
        <w:t xml:space="preserve">he </w:t>
      </w:r>
      <w:r w:rsidR="00F0647E">
        <w:rPr>
          <w:rFonts w:eastAsiaTheme="minorEastAsia" w:hint="eastAsia"/>
          <w:lang w:eastAsia="zh-CN"/>
        </w:rPr>
        <w:t>JPLs</w:t>
      </w:r>
      <w:r w:rsidR="00F0647E" w:rsidRPr="00E53A50">
        <w:rPr>
          <w:rFonts w:eastAsiaTheme="minorEastAsia"/>
          <w:lang w:eastAsia="zh-CN"/>
        </w:rPr>
        <w:t xml:space="preserve"> </w:t>
      </w:r>
      <w:r w:rsidR="00E53A50" w:rsidRPr="00E53A50">
        <w:rPr>
          <w:rFonts w:eastAsiaTheme="minorEastAsia"/>
          <w:lang w:eastAsia="zh-CN"/>
        </w:rPr>
        <w:t>have focused their efforts on investigating the Company's business</w:t>
      </w:r>
      <w:r w:rsidR="002124E8">
        <w:rPr>
          <w:rFonts w:eastAsiaTheme="minorEastAsia" w:hint="eastAsia"/>
          <w:lang w:eastAsia="zh-CN"/>
        </w:rPr>
        <w:t xml:space="preserve"> and</w:t>
      </w:r>
      <w:r w:rsidR="00E53A50" w:rsidRPr="00E53A50">
        <w:rPr>
          <w:rFonts w:eastAsiaTheme="minorEastAsia"/>
          <w:lang w:eastAsia="zh-CN"/>
        </w:rPr>
        <w:t xml:space="preserve"> affairs,</w:t>
      </w:r>
      <w:r w:rsidR="002124E8">
        <w:rPr>
          <w:rFonts w:eastAsiaTheme="minorEastAsia" w:hint="eastAsia"/>
          <w:lang w:eastAsia="zh-CN"/>
        </w:rPr>
        <w:t xml:space="preserve"> locating the Company</w:t>
      </w:r>
      <w:r w:rsidR="002124E8">
        <w:rPr>
          <w:rFonts w:eastAsiaTheme="minorEastAsia"/>
          <w:lang w:eastAsia="zh-CN"/>
        </w:rPr>
        <w:t>’</w:t>
      </w:r>
      <w:r w:rsidR="002124E8">
        <w:rPr>
          <w:rFonts w:eastAsiaTheme="minorEastAsia" w:hint="eastAsia"/>
          <w:lang w:eastAsia="zh-CN"/>
        </w:rPr>
        <w:t>s books and records,</w:t>
      </w:r>
      <w:r w:rsidR="00E53A50" w:rsidRPr="00E53A50">
        <w:rPr>
          <w:rFonts w:eastAsiaTheme="minorEastAsia"/>
          <w:lang w:eastAsia="zh-CN"/>
        </w:rPr>
        <w:t xml:space="preserve"> </w:t>
      </w:r>
      <w:r w:rsidR="002E2172">
        <w:rPr>
          <w:rFonts w:eastAsiaTheme="minorEastAsia"/>
          <w:lang w:eastAsia="zh-CN"/>
        </w:rPr>
        <w:t>contacting</w:t>
      </w:r>
      <w:r w:rsidR="00F0647E">
        <w:rPr>
          <w:rFonts w:eastAsiaTheme="minorEastAsia" w:hint="eastAsia"/>
          <w:lang w:eastAsia="zh-CN"/>
        </w:rPr>
        <w:t xml:space="preserve"> with the </w:t>
      </w:r>
      <w:r w:rsidR="00F0647E">
        <w:rPr>
          <w:rFonts w:eastAsiaTheme="minorEastAsia"/>
          <w:lang w:eastAsia="zh-CN"/>
        </w:rPr>
        <w:t>management</w:t>
      </w:r>
      <w:r w:rsidR="00F0647E">
        <w:rPr>
          <w:rFonts w:eastAsiaTheme="minorEastAsia" w:hint="eastAsia"/>
          <w:lang w:eastAsia="zh-CN"/>
        </w:rPr>
        <w:t xml:space="preserve"> of the Group, </w:t>
      </w:r>
      <w:r w:rsidR="00E53A50" w:rsidRPr="00E53A50">
        <w:rPr>
          <w:rFonts w:eastAsiaTheme="minorEastAsia"/>
          <w:lang w:eastAsia="zh-CN"/>
        </w:rPr>
        <w:t xml:space="preserve">and taking steps to preserve and realise the assets of the Group with a view to </w:t>
      </w:r>
      <w:r w:rsidR="00F0647E">
        <w:rPr>
          <w:rFonts w:eastAsiaTheme="minorEastAsia" w:hint="eastAsia"/>
          <w:lang w:eastAsia="zh-CN"/>
        </w:rPr>
        <w:t xml:space="preserve">formula a </w:t>
      </w:r>
      <w:r w:rsidR="00F0647E" w:rsidRPr="00E53A50">
        <w:rPr>
          <w:rFonts w:eastAsiaTheme="minorEastAsia"/>
          <w:lang w:eastAsia="zh-CN"/>
        </w:rPr>
        <w:t xml:space="preserve">restructuring </w:t>
      </w:r>
      <w:r w:rsidR="00F0647E">
        <w:rPr>
          <w:rFonts w:eastAsiaTheme="minorEastAsia" w:hint="eastAsia"/>
          <w:lang w:eastAsia="zh-CN"/>
        </w:rPr>
        <w:t xml:space="preserve">plan that </w:t>
      </w:r>
      <w:r w:rsidR="00F0647E" w:rsidRPr="00E53A50">
        <w:rPr>
          <w:rFonts w:eastAsiaTheme="minorEastAsia"/>
          <w:lang w:eastAsia="zh-CN"/>
        </w:rPr>
        <w:t xml:space="preserve">would enable the Company to satisfy the Resumption Guidance and a resumption of trading in the Shares </w:t>
      </w:r>
      <w:r w:rsidR="00F0647E">
        <w:rPr>
          <w:rFonts w:eastAsiaTheme="minorEastAsia" w:hint="eastAsia"/>
          <w:lang w:eastAsia="zh-CN"/>
        </w:rPr>
        <w:t xml:space="preserve">and </w:t>
      </w:r>
      <w:r w:rsidR="00E53A50" w:rsidRPr="00E53A50">
        <w:rPr>
          <w:rFonts w:eastAsiaTheme="minorEastAsia"/>
          <w:lang w:eastAsia="zh-CN"/>
        </w:rPr>
        <w:t>returning value to creditors and other stakeholders of the Group</w:t>
      </w:r>
      <w:r w:rsidR="00E53A50">
        <w:rPr>
          <w:rFonts w:eastAsiaTheme="minorEastAsia" w:hint="eastAsia"/>
          <w:lang w:eastAsia="zh-CN"/>
        </w:rPr>
        <w:t>.</w:t>
      </w:r>
      <w:r w:rsidR="00F0647E" w:rsidRPr="00F0647E">
        <w:rPr>
          <w:rFonts w:eastAsiaTheme="minorEastAsia"/>
          <w:lang w:eastAsia="zh-CN"/>
        </w:rPr>
        <w:t xml:space="preserve"> </w:t>
      </w:r>
    </w:p>
    <w:p w14:paraId="0BAFCBAA" w14:textId="77777777" w:rsidR="00873123" w:rsidRDefault="00873123" w:rsidP="002E2172">
      <w:pPr>
        <w:pStyle w:val="BodyText"/>
        <w:spacing w:line="264" w:lineRule="auto"/>
        <w:ind w:right="244"/>
        <w:jc w:val="both"/>
        <w:rPr>
          <w:rFonts w:eastAsiaTheme="minorEastAsia"/>
          <w:lang w:eastAsia="zh-CN"/>
        </w:rPr>
      </w:pPr>
    </w:p>
    <w:p w14:paraId="4B0BDE03" w14:textId="21160342" w:rsidR="00EE1EC6" w:rsidRDefault="00F0647E" w:rsidP="001C4A16">
      <w:pPr>
        <w:pStyle w:val="BodyText"/>
        <w:spacing w:line="264" w:lineRule="auto"/>
        <w:ind w:left="108" w:right="244"/>
        <w:jc w:val="both"/>
        <w:rPr>
          <w:rFonts w:eastAsiaTheme="minorEastAsia"/>
          <w:lang w:eastAsia="zh-CN"/>
        </w:rPr>
      </w:pPr>
      <w:r w:rsidRPr="00E53A50">
        <w:rPr>
          <w:rFonts w:eastAsiaTheme="minorEastAsia"/>
          <w:lang w:eastAsia="zh-CN"/>
        </w:rPr>
        <w:t xml:space="preserve">The </w:t>
      </w:r>
      <w:r>
        <w:rPr>
          <w:rFonts w:eastAsiaTheme="minorEastAsia" w:hint="eastAsia"/>
          <w:lang w:eastAsia="zh-CN"/>
        </w:rPr>
        <w:t>JPLs</w:t>
      </w:r>
      <w:r w:rsidRPr="00E53A50">
        <w:rPr>
          <w:rFonts w:eastAsiaTheme="minorEastAsia"/>
          <w:lang w:eastAsia="zh-CN"/>
        </w:rPr>
        <w:t xml:space="preserve"> would welcome any potential investors interested in pursuing a restructuring of the Company, or any of its constituent parts, to contact them at </w:t>
      </w:r>
      <w:hyperlink r:id="rId8" w:history="1">
        <w:r w:rsidRPr="00FC5BB0">
          <w:rPr>
            <w:rStyle w:val="Hyperlink"/>
            <w:rFonts w:eastAsiaTheme="minorEastAsia"/>
            <w:lang w:eastAsia="zh-CN"/>
          </w:rPr>
          <w:t>project</w:t>
        </w:r>
        <w:r w:rsidRPr="00FC5BB0">
          <w:rPr>
            <w:rStyle w:val="Hyperlink"/>
            <w:rFonts w:eastAsiaTheme="minorEastAsia" w:hint="eastAsia"/>
            <w:lang w:eastAsia="zh-CN"/>
          </w:rPr>
          <w:t>.phoenix</w:t>
        </w:r>
        <w:r w:rsidRPr="00FC5BB0">
          <w:rPr>
            <w:rStyle w:val="Hyperlink"/>
            <w:rFonts w:eastAsiaTheme="minorEastAsia"/>
            <w:lang w:eastAsia="zh-CN"/>
          </w:rPr>
          <w:t>@</w:t>
        </w:r>
        <w:r w:rsidRPr="00FC5BB0">
          <w:rPr>
            <w:rStyle w:val="Hyperlink"/>
            <w:rFonts w:eastAsiaTheme="minorEastAsia" w:hint="eastAsia"/>
            <w:lang w:eastAsia="zh-CN"/>
          </w:rPr>
          <w:t>parthenon</w:t>
        </w:r>
        <w:r w:rsidRPr="00FC5BB0">
          <w:rPr>
            <w:rStyle w:val="Hyperlink"/>
            <w:rFonts w:eastAsiaTheme="minorEastAsia"/>
            <w:lang w:eastAsia="zh-CN"/>
          </w:rPr>
          <w:t>.</w:t>
        </w:r>
        <w:r w:rsidRPr="00FC5BB0">
          <w:rPr>
            <w:rStyle w:val="Hyperlink"/>
            <w:rFonts w:eastAsiaTheme="minorEastAsia" w:hint="eastAsia"/>
            <w:lang w:eastAsia="zh-CN"/>
          </w:rPr>
          <w:t>ey.</w:t>
        </w:r>
        <w:r w:rsidRPr="00FC5BB0">
          <w:rPr>
            <w:rStyle w:val="Hyperlink"/>
            <w:rFonts w:eastAsiaTheme="minorEastAsia"/>
            <w:lang w:eastAsia="zh-CN"/>
          </w:rPr>
          <w:t>com</w:t>
        </w:r>
      </w:hyperlink>
      <w:r w:rsidRPr="00E53A50">
        <w:rPr>
          <w:rFonts w:eastAsiaTheme="minorEastAsia"/>
          <w:lang w:eastAsia="zh-CN"/>
        </w:rPr>
        <w:t>.</w:t>
      </w:r>
    </w:p>
    <w:p w14:paraId="66000EFF" w14:textId="77777777" w:rsidR="00E53A50" w:rsidRDefault="00E53A50" w:rsidP="001C4A16">
      <w:pPr>
        <w:pStyle w:val="BodyText"/>
        <w:spacing w:line="264" w:lineRule="auto"/>
        <w:ind w:left="108" w:right="244"/>
        <w:jc w:val="both"/>
        <w:rPr>
          <w:rFonts w:eastAsiaTheme="minorEastAsia"/>
          <w:lang w:eastAsia="zh-CN"/>
        </w:rPr>
      </w:pPr>
    </w:p>
    <w:p w14:paraId="359EF3DC" w14:textId="77777777" w:rsidR="002E2172" w:rsidRDefault="002E2172" w:rsidP="001C4A16">
      <w:pPr>
        <w:pStyle w:val="BodyText"/>
        <w:spacing w:line="264" w:lineRule="auto"/>
        <w:ind w:left="108" w:right="244"/>
        <w:jc w:val="both"/>
        <w:rPr>
          <w:rFonts w:eastAsiaTheme="minorEastAsia"/>
          <w:lang w:eastAsia="zh-CN"/>
        </w:rPr>
      </w:pPr>
    </w:p>
    <w:p w14:paraId="2483A069" w14:textId="1768FC78" w:rsidR="00590368" w:rsidRPr="00590368" w:rsidRDefault="007C1648" w:rsidP="00590368">
      <w:pPr>
        <w:pStyle w:val="BodyText"/>
        <w:spacing w:line="264" w:lineRule="auto"/>
        <w:ind w:left="109" w:right="242"/>
        <w:jc w:val="both"/>
        <w:rPr>
          <w:rFonts w:eastAsiaTheme="minorEastAsia"/>
          <w:b/>
          <w:bCs/>
          <w:caps/>
          <w:lang w:eastAsia="zh-CN"/>
        </w:rPr>
      </w:pPr>
      <w:r>
        <w:rPr>
          <w:rFonts w:eastAsiaTheme="minorEastAsia"/>
          <w:b/>
          <w:bCs/>
          <w:caps/>
          <w:lang w:eastAsia="zh-CN"/>
        </w:rPr>
        <w:t xml:space="preserve">CONTINUED </w:t>
      </w:r>
      <w:r w:rsidR="00590368" w:rsidRPr="00590368">
        <w:rPr>
          <w:rFonts w:eastAsiaTheme="minorEastAsia"/>
          <w:b/>
          <w:bCs/>
          <w:caps/>
          <w:lang w:eastAsia="zh-CN"/>
        </w:rPr>
        <w:t xml:space="preserve">SUSPENSION OF TRADING </w:t>
      </w:r>
    </w:p>
    <w:p w14:paraId="6ACC7A7C" w14:textId="77777777" w:rsidR="00590368" w:rsidRDefault="00590368" w:rsidP="001C4A16">
      <w:pPr>
        <w:pStyle w:val="BodyText"/>
        <w:spacing w:line="264" w:lineRule="auto"/>
        <w:ind w:left="108" w:right="244"/>
        <w:jc w:val="both"/>
        <w:rPr>
          <w:rFonts w:eastAsiaTheme="minorEastAsia"/>
          <w:lang w:eastAsia="zh-CN"/>
        </w:rPr>
      </w:pPr>
    </w:p>
    <w:p w14:paraId="4E65084A" w14:textId="1C1BD776" w:rsidR="00590368" w:rsidRDefault="00B96F8F" w:rsidP="001C4A16">
      <w:pPr>
        <w:pStyle w:val="BodyText"/>
        <w:spacing w:line="264" w:lineRule="auto"/>
        <w:ind w:left="108" w:right="244"/>
        <w:jc w:val="both"/>
        <w:rPr>
          <w:rFonts w:eastAsiaTheme="minorEastAsia"/>
          <w:lang w:eastAsia="zh-CN"/>
        </w:rPr>
      </w:pPr>
      <w:r w:rsidRPr="00B96F8F">
        <w:rPr>
          <w:rFonts w:eastAsiaTheme="minorEastAsia"/>
          <w:lang w:eastAsia="zh-CN"/>
        </w:rPr>
        <w:t xml:space="preserve">Trading in the </w:t>
      </w:r>
      <w:r w:rsidR="00B11349">
        <w:rPr>
          <w:rFonts w:eastAsiaTheme="minorEastAsia"/>
          <w:lang w:eastAsia="zh-CN"/>
        </w:rPr>
        <w:t xml:space="preserve">Debts and the </w:t>
      </w:r>
      <w:r w:rsidRPr="00B96F8F">
        <w:rPr>
          <w:rFonts w:eastAsiaTheme="minorEastAsia"/>
          <w:lang w:eastAsia="zh-CN"/>
        </w:rPr>
        <w:t xml:space="preserve">shares of the Company on the Stock Exchange has been suspended with effect from 9:00 a.m. on </w:t>
      </w:r>
      <w:r w:rsidR="00B11349">
        <w:rPr>
          <w:rFonts w:eastAsiaTheme="minorEastAsia"/>
          <w:lang w:eastAsia="zh-CN"/>
        </w:rPr>
        <w:t xml:space="preserve">28 June 2022 and on </w:t>
      </w:r>
      <w:r w:rsidRPr="00B96F8F">
        <w:rPr>
          <w:rFonts w:eastAsiaTheme="minorEastAsia"/>
          <w:lang w:eastAsia="zh-CN"/>
        </w:rPr>
        <w:t xml:space="preserve">1 April 2025 </w:t>
      </w:r>
      <w:r w:rsidR="00B11349">
        <w:rPr>
          <w:rFonts w:eastAsiaTheme="minorEastAsia"/>
          <w:lang w:eastAsia="zh-CN"/>
        </w:rPr>
        <w:t xml:space="preserve">respectively </w:t>
      </w:r>
      <w:r w:rsidRPr="00B96F8F">
        <w:rPr>
          <w:rFonts w:eastAsiaTheme="minorEastAsia"/>
          <w:lang w:eastAsia="zh-CN"/>
        </w:rPr>
        <w:t>and will remain suspended until further notice.</w:t>
      </w:r>
    </w:p>
    <w:p w14:paraId="4AA6446A" w14:textId="77777777" w:rsidR="00B96F8F" w:rsidRDefault="00B96F8F" w:rsidP="00122943">
      <w:pPr>
        <w:pStyle w:val="BodyText"/>
        <w:spacing w:line="264" w:lineRule="auto"/>
        <w:ind w:right="244"/>
        <w:jc w:val="both"/>
        <w:rPr>
          <w:rFonts w:eastAsiaTheme="minorEastAsia"/>
          <w:lang w:eastAsia="zh-CN"/>
        </w:rPr>
      </w:pPr>
    </w:p>
    <w:p w14:paraId="1AEBD9A0" w14:textId="77777777" w:rsidR="002124E8" w:rsidRDefault="002124E8" w:rsidP="001C4A16">
      <w:pPr>
        <w:pStyle w:val="BodyText"/>
        <w:spacing w:line="264" w:lineRule="auto"/>
        <w:ind w:left="109" w:right="128"/>
        <w:jc w:val="both"/>
        <w:rPr>
          <w:rFonts w:eastAsiaTheme="minorEastAsia"/>
          <w:b/>
          <w:bCs/>
          <w:lang w:eastAsia="zh-CN"/>
        </w:rPr>
      </w:pPr>
    </w:p>
    <w:p w14:paraId="77220EDE" w14:textId="3F402583" w:rsidR="001C4A16" w:rsidRDefault="001C4A16" w:rsidP="001C4A16">
      <w:pPr>
        <w:pStyle w:val="BodyText"/>
        <w:spacing w:line="264" w:lineRule="auto"/>
        <w:ind w:left="109" w:right="128"/>
        <w:jc w:val="both"/>
        <w:rPr>
          <w:rFonts w:eastAsiaTheme="minorEastAsia"/>
          <w:b/>
          <w:bCs/>
          <w:lang w:eastAsia="zh-CN"/>
        </w:rPr>
      </w:pPr>
      <w:r w:rsidRPr="00214900">
        <w:rPr>
          <w:b/>
          <w:bCs/>
        </w:rPr>
        <w:t xml:space="preserve">Shareholders of the Company and other investors are advised to exercise caution when dealing </w:t>
      </w:r>
      <w:proofErr w:type="gramStart"/>
      <w:r w:rsidRPr="00214900">
        <w:rPr>
          <w:b/>
          <w:bCs/>
        </w:rPr>
        <w:t>in</w:t>
      </w:r>
      <w:proofErr w:type="gramEnd"/>
      <w:r w:rsidRPr="00214900">
        <w:rPr>
          <w:b/>
          <w:bCs/>
        </w:rPr>
        <w:t xml:space="preserve"> the securities of the Company and, if in doubt, may seek professional advice from their own professional or financial advisors.</w:t>
      </w:r>
    </w:p>
    <w:p w14:paraId="12E7CEAD" w14:textId="77777777" w:rsidR="00982009" w:rsidRDefault="00982009" w:rsidP="001C4A16">
      <w:pPr>
        <w:pStyle w:val="BodyText"/>
        <w:spacing w:line="264" w:lineRule="auto"/>
        <w:ind w:left="109" w:right="128"/>
        <w:jc w:val="both"/>
        <w:rPr>
          <w:rFonts w:eastAsiaTheme="minorEastAsia"/>
          <w:b/>
          <w:bCs/>
          <w:lang w:eastAsia="zh-CN"/>
        </w:rPr>
      </w:pPr>
    </w:p>
    <w:p w14:paraId="277C4E3B" w14:textId="77777777" w:rsidR="00982009" w:rsidRPr="008B1AE4" w:rsidRDefault="00982009" w:rsidP="001C4A16">
      <w:pPr>
        <w:pStyle w:val="BodyText"/>
        <w:spacing w:line="264" w:lineRule="auto"/>
        <w:ind w:left="109" w:right="128"/>
        <w:jc w:val="both"/>
        <w:rPr>
          <w:rFonts w:eastAsiaTheme="minorEastAsia"/>
          <w:b/>
          <w:bCs/>
          <w:lang w:eastAsia="zh-CN"/>
        </w:rPr>
      </w:pPr>
    </w:p>
    <w:p w14:paraId="77A8E037" w14:textId="5D8C137A" w:rsidR="001C4A16" w:rsidRDefault="00BE135D" w:rsidP="001C4A16">
      <w:pPr>
        <w:pStyle w:val="BodyText"/>
        <w:ind w:left="5003" w:right="308"/>
        <w:jc w:val="center"/>
      </w:pPr>
      <w:r>
        <w:t xml:space="preserve">For and on behalf of </w:t>
      </w:r>
    </w:p>
    <w:p w14:paraId="24AE9066" w14:textId="77777777" w:rsidR="001C4A16" w:rsidRDefault="001C4A16" w:rsidP="001C4A16">
      <w:pPr>
        <w:pStyle w:val="Heading1"/>
        <w:ind w:left="5003" w:right="312"/>
      </w:pPr>
      <w:r>
        <w:t>Skyfame</w:t>
      </w:r>
      <w:r>
        <w:rPr>
          <w:spacing w:val="-14"/>
        </w:rPr>
        <w:t xml:space="preserve"> </w:t>
      </w:r>
      <w:r>
        <w:t>Realty</w:t>
      </w:r>
      <w:r>
        <w:rPr>
          <w:spacing w:val="-13"/>
        </w:rPr>
        <w:t xml:space="preserve"> </w:t>
      </w:r>
      <w:r>
        <w:t>(Holdings)</w:t>
      </w:r>
      <w:r>
        <w:rPr>
          <w:spacing w:val="-13"/>
        </w:rPr>
        <w:t xml:space="preserve"> </w:t>
      </w:r>
      <w:r>
        <w:t xml:space="preserve">Limited </w:t>
      </w:r>
    </w:p>
    <w:p w14:paraId="3B2F36C4" w14:textId="3EC3CFAA" w:rsidR="001C4A16" w:rsidRPr="001F218F" w:rsidRDefault="001C4A16" w:rsidP="00BE135D">
      <w:pPr>
        <w:pStyle w:val="Heading1"/>
        <w:ind w:leftChars="2255" w:left="4961" w:right="278" w:firstLine="1"/>
      </w:pPr>
      <w:r w:rsidRPr="001F218F">
        <w:t>(</w:t>
      </w:r>
      <w:r w:rsidR="00BE135D" w:rsidRPr="001F218F">
        <w:t>In Liquidation</w:t>
      </w:r>
      <w:r w:rsidRPr="001F218F">
        <w:t>)</w:t>
      </w:r>
    </w:p>
    <w:p w14:paraId="1D54CF1A" w14:textId="25A66DCE" w:rsidR="001C4A16" w:rsidRDefault="001C4A16" w:rsidP="001C4A16">
      <w:pPr>
        <w:pStyle w:val="Heading1"/>
        <w:ind w:left="5003" w:right="312"/>
      </w:pPr>
    </w:p>
    <w:p w14:paraId="06E8B14C" w14:textId="28748F87" w:rsidR="007662A3" w:rsidRDefault="007662A3" w:rsidP="001C4A16">
      <w:pPr>
        <w:pStyle w:val="Heading1"/>
        <w:ind w:left="5003" w:right="312"/>
      </w:pPr>
      <w:r>
        <w:t>MICHAEL PENROSE</w:t>
      </w:r>
    </w:p>
    <w:p w14:paraId="7E2C111C" w14:textId="070D6EE8" w:rsidR="00BE135D" w:rsidRDefault="007662A3" w:rsidP="001C4A16">
      <w:pPr>
        <w:pStyle w:val="Heading1"/>
        <w:ind w:left="5003" w:right="312"/>
      </w:pPr>
      <w:proofErr w:type="gramStart"/>
      <w:r>
        <w:t>SO</w:t>
      </w:r>
      <w:proofErr w:type="gramEnd"/>
      <w:r>
        <w:t xml:space="preserve"> KIT </w:t>
      </w:r>
      <w:r w:rsidR="00D136DC">
        <w:t>YEE ANITA</w:t>
      </w:r>
    </w:p>
    <w:p w14:paraId="0CF8DB78" w14:textId="2D79D28C" w:rsidR="00D136DC" w:rsidRDefault="00D136DC" w:rsidP="001C4A16">
      <w:pPr>
        <w:pStyle w:val="Heading1"/>
        <w:ind w:left="5003" w:right="312"/>
        <w:rPr>
          <w:rFonts w:eastAsiaTheme="minorEastAsia"/>
          <w:lang w:eastAsia="zh-CN"/>
        </w:rPr>
      </w:pPr>
      <w:r>
        <w:t>LAU WUN MAN</w:t>
      </w:r>
    </w:p>
    <w:p w14:paraId="380E537A" w14:textId="77AEE6E5" w:rsidR="00326060" w:rsidRPr="00326060" w:rsidRDefault="00326060" w:rsidP="001C4A16">
      <w:pPr>
        <w:pStyle w:val="Heading1"/>
        <w:ind w:left="5003" w:right="312"/>
        <w:rPr>
          <w:rFonts w:eastAsiaTheme="minorEastAsia"/>
          <w:lang w:eastAsia="zh-CN"/>
        </w:rPr>
      </w:pPr>
      <w:r>
        <w:rPr>
          <w:rFonts w:eastAsiaTheme="minorEastAsia" w:hint="eastAsia"/>
          <w:lang w:eastAsia="zh-CN"/>
        </w:rPr>
        <w:t>JOEL EDWARDS</w:t>
      </w:r>
    </w:p>
    <w:p w14:paraId="4E548DCD" w14:textId="517652BD" w:rsidR="00D136DC" w:rsidRDefault="00326060" w:rsidP="00326060">
      <w:pPr>
        <w:pStyle w:val="Heading1"/>
        <w:ind w:left="4820" w:right="19"/>
        <w:rPr>
          <w:b w:val="0"/>
          <w:bCs w:val="0"/>
          <w:i/>
          <w:iCs/>
        </w:rPr>
      </w:pPr>
      <w:r>
        <w:rPr>
          <w:rFonts w:eastAsiaTheme="minorEastAsia" w:hint="eastAsia"/>
          <w:b w:val="0"/>
          <w:bCs w:val="0"/>
          <w:i/>
          <w:iCs/>
          <w:lang w:eastAsia="zh-CN"/>
        </w:rPr>
        <w:t xml:space="preserve">Joint and Several </w:t>
      </w:r>
      <w:r w:rsidR="009A5C2D" w:rsidRPr="009A5C2D">
        <w:rPr>
          <w:b w:val="0"/>
          <w:bCs w:val="0"/>
          <w:i/>
          <w:iCs/>
        </w:rPr>
        <w:t>Provisi</w:t>
      </w:r>
      <w:r w:rsidR="009A5C2D">
        <w:rPr>
          <w:b w:val="0"/>
          <w:bCs w:val="0"/>
          <w:i/>
          <w:iCs/>
        </w:rPr>
        <w:t>o</w:t>
      </w:r>
      <w:r w:rsidR="009A5C2D" w:rsidRPr="009A5C2D">
        <w:rPr>
          <w:b w:val="0"/>
          <w:bCs w:val="0"/>
          <w:i/>
          <w:iCs/>
        </w:rPr>
        <w:t>nal Liquidators</w:t>
      </w:r>
    </w:p>
    <w:p w14:paraId="72F59D00" w14:textId="75B47A37" w:rsidR="009A5C2D" w:rsidRPr="009A5C2D" w:rsidRDefault="009A5C2D" w:rsidP="009A5C2D">
      <w:pPr>
        <w:pStyle w:val="Heading1"/>
        <w:ind w:left="4395" w:right="-264"/>
        <w:rPr>
          <w:b w:val="0"/>
          <w:bCs w:val="0"/>
          <w:i/>
          <w:iCs/>
        </w:rPr>
      </w:pPr>
      <w:r w:rsidRPr="009A5C2D">
        <w:rPr>
          <w:b w:val="0"/>
          <w:bCs w:val="0"/>
          <w:i/>
          <w:iCs/>
        </w:rPr>
        <w:t>Acting as agents without personal liability</w:t>
      </w:r>
    </w:p>
    <w:p w14:paraId="56530A68" w14:textId="77777777" w:rsidR="009A5C2D" w:rsidRDefault="009A5C2D" w:rsidP="00FA564D">
      <w:pPr>
        <w:pStyle w:val="BodyText"/>
        <w:ind w:left="109"/>
        <w:jc w:val="both"/>
      </w:pPr>
    </w:p>
    <w:p w14:paraId="3B36D386" w14:textId="77777777" w:rsidR="009A5C2D" w:rsidRDefault="009A5C2D" w:rsidP="00FA564D">
      <w:pPr>
        <w:pStyle w:val="BodyText"/>
        <w:ind w:left="109"/>
        <w:jc w:val="both"/>
      </w:pPr>
    </w:p>
    <w:p w14:paraId="154DD153" w14:textId="768D5949" w:rsidR="001C4A16" w:rsidRPr="00F0647E" w:rsidRDefault="001C4A16" w:rsidP="00FA564D">
      <w:pPr>
        <w:pStyle w:val="BodyText"/>
        <w:ind w:left="109"/>
        <w:jc w:val="both"/>
        <w:rPr>
          <w:rFonts w:eastAsiaTheme="minorEastAsia"/>
          <w:spacing w:val="-3"/>
          <w:lang w:eastAsia="zh-CN"/>
        </w:rPr>
      </w:pPr>
      <w:r>
        <w:t>Hong</w:t>
      </w:r>
      <w:r>
        <w:rPr>
          <w:spacing w:val="-3"/>
        </w:rPr>
        <w:t xml:space="preserve"> </w:t>
      </w:r>
      <w:r>
        <w:t>Kong,</w:t>
      </w:r>
      <w:r>
        <w:rPr>
          <w:spacing w:val="-3"/>
        </w:rPr>
        <w:t xml:space="preserve"> </w:t>
      </w:r>
      <w:r w:rsidR="001F12F7" w:rsidRPr="001F12F7">
        <w:rPr>
          <w:rFonts w:eastAsiaTheme="minorEastAsia" w:hint="eastAsia"/>
          <w:spacing w:val="-3"/>
          <w:lang w:eastAsia="zh-CN"/>
        </w:rPr>
        <w:t>9</w:t>
      </w:r>
      <w:r w:rsidR="001F12F7" w:rsidRPr="001F12F7">
        <w:rPr>
          <w:rFonts w:eastAsiaTheme="minorEastAsia" w:hint="eastAsia"/>
          <w:spacing w:val="-3"/>
          <w:vertAlign w:val="superscript"/>
          <w:lang w:eastAsia="zh-CN"/>
        </w:rPr>
        <w:t>th</w:t>
      </w:r>
      <w:r w:rsidR="00044AB7" w:rsidRPr="001F12F7">
        <w:rPr>
          <w:rFonts w:eastAsiaTheme="minorEastAsia" w:hint="eastAsia"/>
          <w:spacing w:val="-3"/>
          <w:lang w:eastAsia="zh-CN"/>
        </w:rPr>
        <w:t xml:space="preserve"> </w:t>
      </w:r>
      <w:r w:rsidR="00F0647E">
        <w:rPr>
          <w:rFonts w:eastAsiaTheme="minorEastAsia" w:hint="eastAsia"/>
          <w:spacing w:val="-3"/>
          <w:lang w:eastAsia="zh-CN"/>
        </w:rPr>
        <w:t>January</w:t>
      </w:r>
      <w:r>
        <w:rPr>
          <w:spacing w:val="-3"/>
        </w:rPr>
        <w:t xml:space="preserve"> </w:t>
      </w:r>
      <w:r>
        <w:rPr>
          <w:spacing w:val="-4"/>
        </w:rPr>
        <w:t>202</w:t>
      </w:r>
      <w:r w:rsidR="00F0647E">
        <w:rPr>
          <w:rFonts w:eastAsiaTheme="minorEastAsia" w:hint="eastAsia"/>
          <w:spacing w:val="-4"/>
          <w:lang w:eastAsia="zh-CN"/>
        </w:rPr>
        <w:t>6</w:t>
      </w:r>
    </w:p>
    <w:p w14:paraId="65641EB6" w14:textId="77777777" w:rsidR="001C4A16" w:rsidRDefault="001C4A16" w:rsidP="001C4A16">
      <w:pPr>
        <w:pStyle w:val="BodyText"/>
      </w:pPr>
    </w:p>
    <w:p w14:paraId="5EC8FCF4" w14:textId="06DA317C" w:rsidR="00A125C4" w:rsidRPr="001C4A16" w:rsidRDefault="00FA564D" w:rsidP="00FA564D">
      <w:pPr>
        <w:ind w:left="109" w:right="102" w:firstLine="60"/>
        <w:jc w:val="both"/>
      </w:pPr>
      <w:r w:rsidRPr="00FA564D">
        <w:rPr>
          <w:i/>
          <w:sz w:val="24"/>
        </w:rPr>
        <w:t>As at the date of this announcement, the Board comprises one executive Director, namely Mr. ZHANG Guocheng; and one non-executive Director, namely Mr. LI Jianwen</w:t>
      </w:r>
      <w:r w:rsidR="00A6247D">
        <w:rPr>
          <w:i/>
          <w:sz w:val="24"/>
        </w:rPr>
        <w:t>.</w:t>
      </w:r>
    </w:p>
    <w:sectPr w:rsidR="00A125C4" w:rsidRPr="001C4A16" w:rsidSect="00336B1C">
      <w:footerReference w:type="default" r:id="rId9"/>
      <w:pgSz w:w="11910" w:h="16840" w:code="9"/>
      <w:pgMar w:top="1247" w:right="1480" w:bottom="851" w:left="14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2FD3" w14:textId="77777777" w:rsidR="005A4608" w:rsidRDefault="005A4608">
      <w:r>
        <w:separator/>
      </w:r>
    </w:p>
  </w:endnote>
  <w:endnote w:type="continuationSeparator" w:id="0">
    <w:p w14:paraId="22D6E3A6" w14:textId="77777777" w:rsidR="005A4608" w:rsidRDefault="005A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思源宋体 Medium">
    <w:altName w:val="Yu Gothic"/>
    <w:panose1 w:val="00000000000000000000"/>
    <w:charset w:val="80"/>
    <w:family w:val="roman"/>
    <w:notTrueType/>
    <w:pitch w:val="variable"/>
    <w:sig w:usb0="30000287" w:usb1="2BDF3C10" w:usb2="00000016" w:usb3="00000000" w:csb0="002E0107"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9F10" w14:textId="04C89D20" w:rsidR="00A125C4" w:rsidRDefault="002928B2">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680B7B04" wp14:editId="57878365">
              <wp:simplePos x="0" y="0"/>
              <wp:positionH relativeFrom="page">
                <wp:posOffset>3705225</wp:posOffset>
              </wp:positionH>
              <wp:positionV relativeFrom="page">
                <wp:posOffset>10051415</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B30AE" w14:textId="66374F38" w:rsidR="00A125C4" w:rsidRDefault="00002EDA">
                          <w:pPr>
                            <w:pStyle w:val="BodyText"/>
                            <w:spacing w:before="10"/>
                            <w:ind w:left="60"/>
                          </w:pPr>
                          <w:r>
                            <w:fldChar w:fldCharType="begin"/>
                          </w:r>
                          <w:r>
                            <w:instrText xml:space="preserve"> PAGE </w:instrText>
                          </w:r>
                          <w:r>
                            <w:fldChar w:fldCharType="separate"/>
                          </w:r>
                          <w:r w:rsidR="000535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B7B04" id="_x0000_t202" coordsize="21600,21600" o:spt="202" path="m,l,21600r21600,l21600,xe">
              <v:stroke joinstyle="miter"/>
              <v:path gradientshapeok="t" o:connecttype="rect"/>
            </v:shapetype>
            <v:shape id="docshape1" o:spid="_x0000_s1026" type="#_x0000_t202" style="position:absolute;margin-left:291.75pt;margin-top:791.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6Tz6/gAAAADQEAAA8AAABkcnMvZG93bnJldi54bWxMj8FOwzAQRO9I/IO1SNyo3aJESYhTVQhO&#10;SIg0HDg6sZtYjdchdtvw9ywnetyZ0eybcru4kZ3NHKxHCeuVAGaw89piL+GzeX3IgIWoUKvRo5Hw&#10;YwJsq9ubUhXaX7A2533sGZVgKJSEIcap4Dx0g3EqrPxkkLyDn52KdM4917O6ULkb+UaIlDtlkT4M&#10;ajLPg+mO+5OTsPvC+sV+v7cf9aG2TZMLfEuPUt7fLbsnYNEs8T8Mf/iEDhUxtf6EOrBRQpI9JhQl&#10;I8k2OTCKpCInqSUpXZPJq5Jfr6h+AQAA//8DAFBLAQItABQABgAIAAAAIQC2gziS/gAAAOEBAAAT&#10;AAAAAAAAAAAAAAAAAAAAAABbQ29udGVudF9UeXBlc10ueG1sUEsBAi0AFAAGAAgAAAAhADj9If/W&#10;AAAAlAEAAAsAAAAAAAAAAAAAAAAALwEAAF9yZWxzLy5yZWxzUEsBAi0AFAAGAAgAAAAhAJr7Tu3U&#10;AQAAkAMAAA4AAAAAAAAAAAAAAAAALgIAAGRycy9lMm9Eb2MueG1sUEsBAi0AFAAGAAgAAAAhAA6T&#10;z6/gAAAADQEAAA8AAAAAAAAAAAAAAAAALgQAAGRycy9kb3ducmV2LnhtbFBLBQYAAAAABAAEAPMA&#10;AAA7BQAAAAA=&#10;" filled="f" stroked="f">
              <v:textbox inset="0,0,0,0">
                <w:txbxContent>
                  <w:p w14:paraId="1B7B30AE" w14:textId="66374F38" w:rsidR="00A125C4" w:rsidRDefault="00002EDA">
                    <w:pPr>
                      <w:pStyle w:val="BodyText"/>
                      <w:spacing w:before="10"/>
                      <w:ind w:left="60"/>
                    </w:pPr>
                    <w:r>
                      <w:fldChar w:fldCharType="begin"/>
                    </w:r>
                    <w:r>
                      <w:instrText xml:space="preserve"> PAGE </w:instrText>
                    </w:r>
                    <w:r>
                      <w:fldChar w:fldCharType="separate"/>
                    </w:r>
                    <w:r w:rsidR="0005351A">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9C6F" w14:textId="77777777" w:rsidR="005A4608" w:rsidRDefault="005A4608">
      <w:r>
        <w:separator/>
      </w:r>
    </w:p>
  </w:footnote>
  <w:footnote w:type="continuationSeparator" w:id="0">
    <w:p w14:paraId="289A3104" w14:textId="77777777" w:rsidR="005A4608" w:rsidRDefault="005A4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D50"/>
    <w:multiLevelType w:val="hybridMultilevel"/>
    <w:tmpl w:val="73701132"/>
    <w:lvl w:ilvl="0" w:tplc="7B029452">
      <w:start w:val="1"/>
      <w:numFmt w:val="lowerRoman"/>
      <w:lvlText w:val="(%1)"/>
      <w:lvlJc w:val="left"/>
      <w:pPr>
        <w:ind w:left="828" w:hanging="72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4F6E7BF8"/>
    <w:multiLevelType w:val="hybridMultilevel"/>
    <w:tmpl w:val="D35C1A24"/>
    <w:lvl w:ilvl="0" w:tplc="AAA05A84">
      <w:start w:val="1"/>
      <w:numFmt w:val="lowerRoman"/>
      <w:lvlText w:val="(%1)"/>
      <w:lvlJc w:val="left"/>
      <w:pPr>
        <w:ind w:left="828" w:hanging="720"/>
      </w:pPr>
      <w:rPr>
        <w:rFonts w:hint="default"/>
      </w:rPr>
    </w:lvl>
    <w:lvl w:ilvl="1" w:tplc="3C090019" w:tentative="1">
      <w:start w:val="1"/>
      <w:numFmt w:val="lowerLetter"/>
      <w:lvlText w:val="%2."/>
      <w:lvlJc w:val="left"/>
      <w:pPr>
        <w:ind w:left="1188" w:hanging="360"/>
      </w:pPr>
    </w:lvl>
    <w:lvl w:ilvl="2" w:tplc="3C09001B" w:tentative="1">
      <w:start w:val="1"/>
      <w:numFmt w:val="lowerRoman"/>
      <w:lvlText w:val="%3."/>
      <w:lvlJc w:val="right"/>
      <w:pPr>
        <w:ind w:left="1908" w:hanging="180"/>
      </w:pPr>
    </w:lvl>
    <w:lvl w:ilvl="3" w:tplc="3C09000F" w:tentative="1">
      <w:start w:val="1"/>
      <w:numFmt w:val="decimal"/>
      <w:lvlText w:val="%4."/>
      <w:lvlJc w:val="left"/>
      <w:pPr>
        <w:ind w:left="2628" w:hanging="360"/>
      </w:pPr>
    </w:lvl>
    <w:lvl w:ilvl="4" w:tplc="3C090019" w:tentative="1">
      <w:start w:val="1"/>
      <w:numFmt w:val="lowerLetter"/>
      <w:lvlText w:val="%5."/>
      <w:lvlJc w:val="left"/>
      <w:pPr>
        <w:ind w:left="3348" w:hanging="360"/>
      </w:pPr>
    </w:lvl>
    <w:lvl w:ilvl="5" w:tplc="3C09001B" w:tentative="1">
      <w:start w:val="1"/>
      <w:numFmt w:val="lowerRoman"/>
      <w:lvlText w:val="%6."/>
      <w:lvlJc w:val="right"/>
      <w:pPr>
        <w:ind w:left="4068" w:hanging="180"/>
      </w:pPr>
    </w:lvl>
    <w:lvl w:ilvl="6" w:tplc="3C09000F" w:tentative="1">
      <w:start w:val="1"/>
      <w:numFmt w:val="decimal"/>
      <w:lvlText w:val="%7."/>
      <w:lvlJc w:val="left"/>
      <w:pPr>
        <w:ind w:left="4788" w:hanging="360"/>
      </w:pPr>
    </w:lvl>
    <w:lvl w:ilvl="7" w:tplc="3C090019" w:tentative="1">
      <w:start w:val="1"/>
      <w:numFmt w:val="lowerLetter"/>
      <w:lvlText w:val="%8."/>
      <w:lvlJc w:val="left"/>
      <w:pPr>
        <w:ind w:left="5508" w:hanging="360"/>
      </w:pPr>
    </w:lvl>
    <w:lvl w:ilvl="8" w:tplc="3C09001B" w:tentative="1">
      <w:start w:val="1"/>
      <w:numFmt w:val="lowerRoman"/>
      <w:lvlText w:val="%9."/>
      <w:lvlJc w:val="right"/>
      <w:pPr>
        <w:ind w:left="6228" w:hanging="180"/>
      </w:pPr>
    </w:lvl>
  </w:abstractNum>
  <w:num w:numId="1" w16cid:durableId="1445493937">
    <w:abstractNumId w:val="1"/>
  </w:num>
  <w:num w:numId="2" w16cid:durableId="1219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hideGrammatical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C4"/>
    <w:rsid w:val="000005F9"/>
    <w:rsid w:val="00002EDA"/>
    <w:rsid w:val="00010E89"/>
    <w:rsid w:val="000124E4"/>
    <w:rsid w:val="00016FF4"/>
    <w:rsid w:val="0003525F"/>
    <w:rsid w:val="00036911"/>
    <w:rsid w:val="000370DC"/>
    <w:rsid w:val="00040B84"/>
    <w:rsid w:val="00042236"/>
    <w:rsid w:val="00044AB7"/>
    <w:rsid w:val="00051172"/>
    <w:rsid w:val="0005351A"/>
    <w:rsid w:val="0006393A"/>
    <w:rsid w:val="00075499"/>
    <w:rsid w:val="00075B09"/>
    <w:rsid w:val="00092727"/>
    <w:rsid w:val="000942F7"/>
    <w:rsid w:val="000A111A"/>
    <w:rsid w:val="000A66D9"/>
    <w:rsid w:val="000C4C60"/>
    <w:rsid w:val="000D55F4"/>
    <w:rsid w:val="000E24FC"/>
    <w:rsid w:val="0010108E"/>
    <w:rsid w:val="00103A80"/>
    <w:rsid w:val="00111D06"/>
    <w:rsid w:val="00112B0D"/>
    <w:rsid w:val="00122943"/>
    <w:rsid w:val="0012453B"/>
    <w:rsid w:val="0013259F"/>
    <w:rsid w:val="00141802"/>
    <w:rsid w:val="0014552E"/>
    <w:rsid w:val="00153F4F"/>
    <w:rsid w:val="00164064"/>
    <w:rsid w:val="00165642"/>
    <w:rsid w:val="00171EA5"/>
    <w:rsid w:val="0018376F"/>
    <w:rsid w:val="00187FC1"/>
    <w:rsid w:val="00193198"/>
    <w:rsid w:val="00195C40"/>
    <w:rsid w:val="001A4740"/>
    <w:rsid w:val="001C4A16"/>
    <w:rsid w:val="001D2F7C"/>
    <w:rsid w:val="001D73F6"/>
    <w:rsid w:val="001E41CC"/>
    <w:rsid w:val="001E6D9C"/>
    <w:rsid w:val="001F0650"/>
    <w:rsid w:val="001F12F7"/>
    <w:rsid w:val="001F218F"/>
    <w:rsid w:val="001F4FDA"/>
    <w:rsid w:val="00201633"/>
    <w:rsid w:val="00201743"/>
    <w:rsid w:val="00207C19"/>
    <w:rsid w:val="002124E8"/>
    <w:rsid w:val="00214900"/>
    <w:rsid w:val="00220F54"/>
    <w:rsid w:val="002346C6"/>
    <w:rsid w:val="0023556D"/>
    <w:rsid w:val="002371DB"/>
    <w:rsid w:val="002377E0"/>
    <w:rsid w:val="0025427C"/>
    <w:rsid w:val="00257576"/>
    <w:rsid w:val="00267D86"/>
    <w:rsid w:val="0027090E"/>
    <w:rsid w:val="00272A1B"/>
    <w:rsid w:val="00274347"/>
    <w:rsid w:val="00275663"/>
    <w:rsid w:val="0028370B"/>
    <w:rsid w:val="002928B2"/>
    <w:rsid w:val="002D3D05"/>
    <w:rsid w:val="002D64C2"/>
    <w:rsid w:val="002E2172"/>
    <w:rsid w:val="002E5812"/>
    <w:rsid w:val="002E648F"/>
    <w:rsid w:val="002F0541"/>
    <w:rsid w:val="002F6236"/>
    <w:rsid w:val="00310912"/>
    <w:rsid w:val="00315960"/>
    <w:rsid w:val="00323490"/>
    <w:rsid w:val="00326060"/>
    <w:rsid w:val="003318CC"/>
    <w:rsid w:val="00336AE9"/>
    <w:rsid w:val="00336B1C"/>
    <w:rsid w:val="00345B13"/>
    <w:rsid w:val="003462F8"/>
    <w:rsid w:val="003502D0"/>
    <w:rsid w:val="00371FF5"/>
    <w:rsid w:val="003766B0"/>
    <w:rsid w:val="00376FAD"/>
    <w:rsid w:val="0038259D"/>
    <w:rsid w:val="003A770A"/>
    <w:rsid w:val="003A7FA7"/>
    <w:rsid w:val="003B24A3"/>
    <w:rsid w:val="003D3084"/>
    <w:rsid w:val="003D4980"/>
    <w:rsid w:val="003E01D2"/>
    <w:rsid w:val="003F102F"/>
    <w:rsid w:val="00402033"/>
    <w:rsid w:val="00402C76"/>
    <w:rsid w:val="00422331"/>
    <w:rsid w:val="00435BA3"/>
    <w:rsid w:val="004406AB"/>
    <w:rsid w:val="00455172"/>
    <w:rsid w:val="004729D0"/>
    <w:rsid w:val="004735B0"/>
    <w:rsid w:val="004B43E8"/>
    <w:rsid w:val="004C2C7F"/>
    <w:rsid w:val="004C34B3"/>
    <w:rsid w:val="004C6997"/>
    <w:rsid w:val="004C6AA8"/>
    <w:rsid w:val="004D4DDE"/>
    <w:rsid w:val="004E10BE"/>
    <w:rsid w:val="004E41F9"/>
    <w:rsid w:val="004E6837"/>
    <w:rsid w:val="004F1F1E"/>
    <w:rsid w:val="004F6902"/>
    <w:rsid w:val="0051032F"/>
    <w:rsid w:val="00510521"/>
    <w:rsid w:val="005205F9"/>
    <w:rsid w:val="00536F31"/>
    <w:rsid w:val="00545E9A"/>
    <w:rsid w:val="005755A5"/>
    <w:rsid w:val="00583C7E"/>
    <w:rsid w:val="00590368"/>
    <w:rsid w:val="00595B39"/>
    <w:rsid w:val="00595BC5"/>
    <w:rsid w:val="005A07F5"/>
    <w:rsid w:val="005A4608"/>
    <w:rsid w:val="005A79E1"/>
    <w:rsid w:val="005B0412"/>
    <w:rsid w:val="005B0642"/>
    <w:rsid w:val="005B361D"/>
    <w:rsid w:val="005B42E1"/>
    <w:rsid w:val="005D1057"/>
    <w:rsid w:val="005D1C11"/>
    <w:rsid w:val="005D2EA5"/>
    <w:rsid w:val="005D52E1"/>
    <w:rsid w:val="005D7D28"/>
    <w:rsid w:val="005E2AB0"/>
    <w:rsid w:val="005E607E"/>
    <w:rsid w:val="005F507B"/>
    <w:rsid w:val="00611421"/>
    <w:rsid w:val="00611479"/>
    <w:rsid w:val="00623A25"/>
    <w:rsid w:val="00624B88"/>
    <w:rsid w:val="006331A3"/>
    <w:rsid w:val="00664005"/>
    <w:rsid w:val="00667C3E"/>
    <w:rsid w:val="00676096"/>
    <w:rsid w:val="0067786F"/>
    <w:rsid w:val="0068042E"/>
    <w:rsid w:val="0069732E"/>
    <w:rsid w:val="006A3FB1"/>
    <w:rsid w:val="006A70DF"/>
    <w:rsid w:val="006B3A92"/>
    <w:rsid w:val="006D1C8D"/>
    <w:rsid w:val="006D1D46"/>
    <w:rsid w:val="006D26B8"/>
    <w:rsid w:val="006E61DC"/>
    <w:rsid w:val="006F14BA"/>
    <w:rsid w:val="006F6A3C"/>
    <w:rsid w:val="00700C61"/>
    <w:rsid w:val="00703AF6"/>
    <w:rsid w:val="007100B1"/>
    <w:rsid w:val="00716A9F"/>
    <w:rsid w:val="0073754B"/>
    <w:rsid w:val="00740C44"/>
    <w:rsid w:val="00740F3B"/>
    <w:rsid w:val="00762EF4"/>
    <w:rsid w:val="007662A3"/>
    <w:rsid w:val="007778C1"/>
    <w:rsid w:val="00781F42"/>
    <w:rsid w:val="00783D14"/>
    <w:rsid w:val="007905C6"/>
    <w:rsid w:val="007912D0"/>
    <w:rsid w:val="00793B76"/>
    <w:rsid w:val="00795CE6"/>
    <w:rsid w:val="007963B5"/>
    <w:rsid w:val="007A34E6"/>
    <w:rsid w:val="007A524A"/>
    <w:rsid w:val="007B3413"/>
    <w:rsid w:val="007C1648"/>
    <w:rsid w:val="007D3CB6"/>
    <w:rsid w:val="007E5383"/>
    <w:rsid w:val="007F0363"/>
    <w:rsid w:val="007F741F"/>
    <w:rsid w:val="0080622C"/>
    <w:rsid w:val="0080722D"/>
    <w:rsid w:val="00811768"/>
    <w:rsid w:val="008125AE"/>
    <w:rsid w:val="008178ED"/>
    <w:rsid w:val="00831C43"/>
    <w:rsid w:val="008340C0"/>
    <w:rsid w:val="00836C3D"/>
    <w:rsid w:val="008637C2"/>
    <w:rsid w:val="00865B39"/>
    <w:rsid w:val="008678E3"/>
    <w:rsid w:val="0087300B"/>
    <w:rsid w:val="00873123"/>
    <w:rsid w:val="00875E60"/>
    <w:rsid w:val="00892FC0"/>
    <w:rsid w:val="008A2332"/>
    <w:rsid w:val="008A4CA1"/>
    <w:rsid w:val="008A7EEC"/>
    <w:rsid w:val="008B1AE4"/>
    <w:rsid w:val="008B28D4"/>
    <w:rsid w:val="008C02CC"/>
    <w:rsid w:val="008D4E92"/>
    <w:rsid w:val="008D7641"/>
    <w:rsid w:val="008E0D9F"/>
    <w:rsid w:val="008E2AF6"/>
    <w:rsid w:val="00900706"/>
    <w:rsid w:val="00902422"/>
    <w:rsid w:val="00912435"/>
    <w:rsid w:val="009256D1"/>
    <w:rsid w:val="009379E4"/>
    <w:rsid w:val="00954604"/>
    <w:rsid w:val="00962679"/>
    <w:rsid w:val="009800DA"/>
    <w:rsid w:val="00982009"/>
    <w:rsid w:val="009A5C2D"/>
    <w:rsid w:val="009A6A69"/>
    <w:rsid w:val="009D3C1D"/>
    <w:rsid w:val="009E0CD0"/>
    <w:rsid w:val="009E5A6D"/>
    <w:rsid w:val="00A125C4"/>
    <w:rsid w:val="00A15C5E"/>
    <w:rsid w:val="00A1726F"/>
    <w:rsid w:val="00A20854"/>
    <w:rsid w:val="00A36988"/>
    <w:rsid w:val="00A4177F"/>
    <w:rsid w:val="00A41A32"/>
    <w:rsid w:val="00A43E5B"/>
    <w:rsid w:val="00A5205F"/>
    <w:rsid w:val="00A60745"/>
    <w:rsid w:val="00A6247D"/>
    <w:rsid w:val="00AB1355"/>
    <w:rsid w:val="00AB57BC"/>
    <w:rsid w:val="00AB5AB2"/>
    <w:rsid w:val="00AC7EF2"/>
    <w:rsid w:val="00AD0117"/>
    <w:rsid w:val="00AD1CF5"/>
    <w:rsid w:val="00AD323D"/>
    <w:rsid w:val="00AD6342"/>
    <w:rsid w:val="00AE6F9F"/>
    <w:rsid w:val="00AF0930"/>
    <w:rsid w:val="00AF2A45"/>
    <w:rsid w:val="00B00225"/>
    <w:rsid w:val="00B04D12"/>
    <w:rsid w:val="00B05A79"/>
    <w:rsid w:val="00B11349"/>
    <w:rsid w:val="00B522D0"/>
    <w:rsid w:val="00B6481C"/>
    <w:rsid w:val="00B77D82"/>
    <w:rsid w:val="00B8062A"/>
    <w:rsid w:val="00B94DAC"/>
    <w:rsid w:val="00B96607"/>
    <w:rsid w:val="00B96F8F"/>
    <w:rsid w:val="00BA2932"/>
    <w:rsid w:val="00BB4ECE"/>
    <w:rsid w:val="00BD60F7"/>
    <w:rsid w:val="00BE135D"/>
    <w:rsid w:val="00BF6DE1"/>
    <w:rsid w:val="00C02443"/>
    <w:rsid w:val="00C10247"/>
    <w:rsid w:val="00C15B92"/>
    <w:rsid w:val="00C1754B"/>
    <w:rsid w:val="00C22861"/>
    <w:rsid w:val="00C23BD9"/>
    <w:rsid w:val="00C3228C"/>
    <w:rsid w:val="00C32B45"/>
    <w:rsid w:val="00C47589"/>
    <w:rsid w:val="00C64B35"/>
    <w:rsid w:val="00C66198"/>
    <w:rsid w:val="00C70E28"/>
    <w:rsid w:val="00C71052"/>
    <w:rsid w:val="00C811A9"/>
    <w:rsid w:val="00C822D5"/>
    <w:rsid w:val="00C92F80"/>
    <w:rsid w:val="00CE4E66"/>
    <w:rsid w:val="00CF0AB8"/>
    <w:rsid w:val="00CF2081"/>
    <w:rsid w:val="00CF3AA5"/>
    <w:rsid w:val="00D00315"/>
    <w:rsid w:val="00D136DC"/>
    <w:rsid w:val="00D13FB2"/>
    <w:rsid w:val="00D3350E"/>
    <w:rsid w:val="00D37CFB"/>
    <w:rsid w:val="00D42967"/>
    <w:rsid w:val="00D442AB"/>
    <w:rsid w:val="00D51524"/>
    <w:rsid w:val="00D61FB5"/>
    <w:rsid w:val="00D66AF7"/>
    <w:rsid w:val="00D72D59"/>
    <w:rsid w:val="00D814CD"/>
    <w:rsid w:val="00D82A3F"/>
    <w:rsid w:val="00D82CE1"/>
    <w:rsid w:val="00D8479A"/>
    <w:rsid w:val="00DA7000"/>
    <w:rsid w:val="00DA77C2"/>
    <w:rsid w:val="00DB088E"/>
    <w:rsid w:val="00DC0C98"/>
    <w:rsid w:val="00DC4A1C"/>
    <w:rsid w:val="00DD0C71"/>
    <w:rsid w:val="00DE699C"/>
    <w:rsid w:val="00DF1F56"/>
    <w:rsid w:val="00DF2F0D"/>
    <w:rsid w:val="00E43886"/>
    <w:rsid w:val="00E53667"/>
    <w:rsid w:val="00E53A50"/>
    <w:rsid w:val="00E61ED6"/>
    <w:rsid w:val="00E7787C"/>
    <w:rsid w:val="00E856AE"/>
    <w:rsid w:val="00E900D2"/>
    <w:rsid w:val="00E93501"/>
    <w:rsid w:val="00E9518E"/>
    <w:rsid w:val="00EA2A39"/>
    <w:rsid w:val="00EA60A5"/>
    <w:rsid w:val="00EA7CA0"/>
    <w:rsid w:val="00EB0132"/>
    <w:rsid w:val="00EB0939"/>
    <w:rsid w:val="00EB14CF"/>
    <w:rsid w:val="00EC2BE7"/>
    <w:rsid w:val="00EC7A33"/>
    <w:rsid w:val="00ED2B54"/>
    <w:rsid w:val="00ED50C9"/>
    <w:rsid w:val="00EE1EC6"/>
    <w:rsid w:val="00EF3133"/>
    <w:rsid w:val="00EF71F1"/>
    <w:rsid w:val="00F0009A"/>
    <w:rsid w:val="00F02363"/>
    <w:rsid w:val="00F0647E"/>
    <w:rsid w:val="00F1231F"/>
    <w:rsid w:val="00F32692"/>
    <w:rsid w:val="00F5335F"/>
    <w:rsid w:val="00F61013"/>
    <w:rsid w:val="00F61A4A"/>
    <w:rsid w:val="00F64F77"/>
    <w:rsid w:val="00F7153D"/>
    <w:rsid w:val="00F7399A"/>
    <w:rsid w:val="00F75053"/>
    <w:rsid w:val="00F87CCE"/>
    <w:rsid w:val="00F953E7"/>
    <w:rsid w:val="00FA1D36"/>
    <w:rsid w:val="00FA38A6"/>
    <w:rsid w:val="00FA564D"/>
    <w:rsid w:val="00FB7384"/>
    <w:rsid w:val="00FC0A87"/>
    <w:rsid w:val="00FC16EE"/>
    <w:rsid w:val="00FC5E05"/>
    <w:rsid w:val="00FE37D2"/>
    <w:rsid w:val="00FE7146"/>
    <w:rsid w:val="00FF08D4"/>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01C7"/>
  <w15:docId w15:val="{4661949F-34DA-4507-AC87-7779A91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9" w:right="19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76" w:right="31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7" w:lineRule="exact"/>
      <w:ind w:left="50"/>
      <w:jc w:val="center"/>
    </w:pPr>
    <w:rPr>
      <w:rFonts w:ascii="Arial" w:eastAsia="Arial" w:hAnsi="Arial" w:cs="Arial"/>
    </w:rPr>
  </w:style>
  <w:style w:type="paragraph" w:styleId="Header">
    <w:name w:val="header"/>
    <w:basedOn w:val="Normal"/>
    <w:link w:val="HeaderChar"/>
    <w:uiPriority w:val="99"/>
    <w:unhideWhenUsed/>
    <w:rsid w:val="00E856AE"/>
    <w:pPr>
      <w:tabs>
        <w:tab w:val="center" w:pos="4320"/>
        <w:tab w:val="right" w:pos="8640"/>
      </w:tabs>
    </w:pPr>
  </w:style>
  <w:style w:type="character" w:customStyle="1" w:styleId="HeaderChar">
    <w:name w:val="Header Char"/>
    <w:basedOn w:val="DefaultParagraphFont"/>
    <w:link w:val="Header"/>
    <w:uiPriority w:val="99"/>
    <w:rsid w:val="00E856AE"/>
    <w:rPr>
      <w:rFonts w:ascii="Times New Roman" w:eastAsia="Times New Roman" w:hAnsi="Times New Roman" w:cs="Times New Roman"/>
    </w:rPr>
  </w:style>
  <w:style w:type="paragraph" w:styleId="Footer">
    <w:name w:val="footer"/>
    <w:basedOn w:val="Normal"/>
    <w:link w:val="FooterChar"/>
    <w:uiPriority w:val="99"/>
    <w:unhideWhenUsed/>
    <w:rsid w:val="00E856AE"/>
    <w:pPr>
      <w:tabs>
        <w:tab w:val="center" w:pos="4320"/>
        <w:tab w:val="right" w:pos="8640"/>
      </w:tabs>
    </w:pPr>
  </w:style>
  <w:style w:type="character" w:customStyle="1" w:styleId="FooterChar">
    <w:name w:val="Footer Char"/>
    <w:basedOn w:val="DefaultParagraphFont"/>
    <w:link w:val="Footer"/>
    <w:uiPriority w:val="99"/>
    <w:rsid w:val="00E856AE"/>
    <w:rPr>
      <w:rFonts w:ascii="Times New Roman" w:eastAsia="Times New Roman" w:hAnsi="Times New Roman" w:cs="Times New Roman"/>
    </w:rPr>
  </w:style>
  <w:style w:type="table" w:styleId="TableGrid">
    <w:name w:val="Table Grid"/>
    <w:basedOn w:val="TableNormal"/>
    <w:uiPriority w:val="39"/>
    <w:rsid w:val="00DB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6E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71052"/>
    <w:rPr>
      <w:sz w:val="16"/>
      <w:szCs w:val="16"/>
    </w:rPr>
  </w:style>
  <w:style w:type="paragraph" w:styleId="CommentText">
    <w:name w:val="annotation text"/>
    <w:basedOn w:val="Normal"/>
    <w:link w:val="CommentTextChar"/>
    <w:uiPriority w:val="99"/>
    <w:semiHidden/>
    <w:unhideWhenUsed/>
    <w:rsid w:val="00C71052"/>
    <w:rPr>
      <w:sz w:val="20"/>
      <w:szCs w:val="20"/>
    </w:rPr>
  </w:style>
  <w:style w:type="character" w:customStyle="1" w:styleId="CommentTextChar">
    <w:name w:val="Comment Text Char"/>
    <w:basedOn w:val="DefaultParagraphFont"/>
    <w:link w:val="CommentText"/>
    <w:uiPriority w:val="99"/>
    <w:semiHidden/>
    <w:rsid w:val="00C710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052"/>
    <w:rPr>
      <w:b/>
      <w:bCs/>
    </w:rPr>
  </w:style>
  <w:style w:type="character" w:customStyle="1" w:styleId="CommentSubjectChar">
    <w:name w:val="Comment Subject Char"/>
    <w:basedOn w:val="CommentTextChar"/>
    <w:link w:val="CommentSubject"/>
    <w:uiPriority w:val="99"/>
    <w:semiHidden/>
    <w:rsid w:val="00C710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1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52"/>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05117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722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0647E"/>
    <w:rPr>
      <w:color w:val="0000FF" w:themeColor="hyperlink"/>
      <w:u w:val="single"/>
    </w:rPr>
  </w:style>
  <w:style w:type="character" w:styleId="UnresolvedMention">
    <w:name w:val="Unresolved Mention"/>
    <w:basedOn w:val="DefaultParagraphFont"/>
    <w:uiPriority w:val="99"/>
    <w:semiHidden/>
    <w:unhideWhenUsed/>
    <w:rsid w:val="00F0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558867">
      <w:bodyDiv w:val="1"/>
      <w:marLeft w:val="0"/>
      <w:marRight w:val="0"/>
      <w:marTop w:val="0"/>
      <w:marBottom w:val="0"/>
      <w:divBdr>
        <w:top w:val="none" w:sz="0" w:space="0" w:color="auto"/>
        <w:left w:val="none" w:sz="0" w:space="0" w:color="auto"/>
        <w:bottom w:val="none" w:sz="0" w:space="0" w:color="auto"/>
        <w:right w:val="none" w:sz="0" w:space="0" w:color="auto"/>
      </w:divBdr>
    </w:div>
    <w:div w:id="193504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ject.phoenix@parthenon.e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2574</Words>
  <Characters>2935</Characters>
  <Application>Microsoft Office Word</Application>
  <DocSecurity>0</DocSecurity>
  <Lines>172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Norman Hau</dc:creator>
  <cp:lastModifiedBy>Lucas CY Li</cp:lastModifiedBy>
  <cp:revision>6</cp:revision>
  <cp:lastPrinted>2024-10-02T09:54:00Z</cp:lastPrinted>
  <dcterms:created xsi:type="dcterms:W3CDTF">2026-01-05T06:23:00Z</dcterms:created>
  <dcterms:modified xsi:type="dcterms:W3CDTF">2026-01-09T12:02:00Z</dcterms:modified>
</cp:coreProperties>
</file>