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0AA" w:rsidRPr="003B7DB8" w:rsidRDefault="003C62FF" w:rsidP="00F440AA">
      <w:pPr>
        <w:jc w:val="both"/>
        <w:rPr>
          <w:rFonts w:ascii="Arial" w:hAnsi="Arial" w:cs="Arial"/>
          <w:i/>
          <w:sz w:val="20"/>
        </w:rPr>
      </w:pPr>
      <w:r w:rsidRPr="003C62FF">
        <w:rPr>
          <w:rFonts w:ascii="Arial" w:hAnsi="Arial" w:cs="Arial"/>
          <w:i/>
          <w:sz w:val="20"/>
        </w:rPr>
        <w:t xml:space="preserve">Hong Kong Exchanges and Clearing Limited and The Stock Exchange of Hong Kong Limited </w:t>
      </w:r>
      <w:r w:rsidR="007F3213">
        <w:rPr>
          <w:rFonts w:ascii="Arial" w:hAnsi="Arial" w:cs="Arial"/>
          <w:i/>
          <w:sz w:val="20"/>
        </w:rPr>
        <w:t>(t</w:t>
      </w:r>
      <w:r w:rsidR="007F3213" w:rsidRPr="003C62FF">
        <w:rPr>
          <w:rFonts w:ascii="Arial" w:hAnsi="Arial" w:cs="Arial"/>
          <w:i/>
          <w:sz w:val="20"/>
        </w:rPr>
        <w:t xml:space="preserve">he </w:t>
      </w:r>
      <w:r w:rsidR="007F3213">
        <w:rPr>
          <w:rFonts w:ascii="Arial" w:hAnsi="Arial" w:cs="Arial"/>
          <w:i/>
          <w:sz w:val="20"/>
        </w:rPr>
        <w:t>“</w:t>
      </w:r>
      <w:r w:rsidR="007F3213" w:rsidRPr="003C62FF">
        <w:rPr>
          <w:rFonts w:ascii="Arial" w:hAnsi="Arial" w:cs="Arial"/>
          <w:i/>
          <w:sz w:val="20"/>
        </w:rPr>
        <w:t>Stock Exchange</w:t>
      </w:r>
      <w:r w:rsidR="007F3213">
        <w:rPr>
          <w:rFonts w:ascii="Arial" w:hAnsi="Arial" w:cs="Arial"/>
          <w:i/>
          <w:sz w:val="20"/>
        </w:rPr>
        <w:t xml:space="preserve">”) </w:t>
      </w:r>
      <w:r w:rsidRPr="003C62FF">
        <w:rPr>
          <w:rFonts w:ascii="Arial" w:hAnsi="Arial" w:cs="Arial"/>
          <w:i/>
          <w:sz w:val="20"/>
        </w:rPr>
        <w:t>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r w:rsidR="001F3F64" w:rsidRPr="003B7DB8">
        <w:rPr>
          <w:rFonts w:ascii="Arial" w:hAnsi="Arial" w:cs="Arial"/>
          <w:i/>
          <w:sz w:val="20"/>
        </w:rPr>
        <w:t>.</w:t>
      </w:r>
    </w:p>
    <w:p w:rsidR="001F3F64" w:rsidRPr="001F3F64" w:rsidRDefault="001F3F64" w:rsidP="00F440AA">
      <w:pPr>
        <w:jc w:val="both"/>
        <w:rPr>
          <w:rFonts w:ascii="Arial" w:hAnsi="Arial" w:cs="Arial"/>
          <w:szCs w:val="23"/>
        </w:rPr>
      </w:pPr>
    </w:p>
    <w:p w:rsidR="00F440AA" w:rsidRDefault="003A5177" w:rsidP="002A6598">
      <w:pPr>
        <w:jc w:val="center"/>
        <w:rPr>
          <w:rFonts w:ascii="Arial" w:hAnsi="Arial" w:cs="Arial"/>
          <w:szCs w:val="23"/>
        </w:rPr>
      </w:pPr>
      <w:r w:rsidRPr="000F1D7B">
        <w:rPr>
          <w:noProof/>
          <w:lang w:val="en-US"/>
        </w:rPr>
        <w:drawing>
          <wp:inline distT="0" distB="0" distL="0" distR="0">
            <wp:extent cx="2638425" cy="771525"/>
            <wp:effectExtent l="0" t="0" r="9525" b="9525"/>
            <wp:docPr id="1" name="Picture 1" descr="C:\Users\uchoy\AppData\Local\Microsoft\Windows\INetCache\Content.Word\HSBC_EN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hoy\AppData\Local\Microsoft\Windows\INetCache\Content.Word\HSBC_EN_Logo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t="29051" b="29602"/>
                    <a:stretch>
                      <a:fillRect/>
                    </a:stretch>
                  </pic:blipFill>
                  <pic:spPr bwMode="auto">
                    <a:xfrm>
                      <a:off x="0" y="0"/>
                      <a:ext cx="2638425" cy="771525"/>
                    </a:xfrm>
                    <a:prstGeom prst="rect">
                      <a:avLst/>
                    </a:prstGeom>
                    <a:noFill/>
                    <a:ln>
                      <a:noFill/>
                    </a:ln>
                  </pic:spPr>
                </pic:pic>
              </a:graphicData>
            </a:graphic>
          </wp:inline>
        </w:drawing>
      </w:r>
    </w:p>
    <w:p w:rsidR="002A6598" w:rsidRDefault="002A6598" w:rsidP="00F440AA">
      <w:pPr>
        <w:jc w:val="both"/>
        <w:rPr>
          <w:rFonts w:ascii="Arial" w:hAnsi="Arial" w:cs="Arial"/>
          <w:szCs w:val="23"/>
        </w:rPr>
      </w:pPr>
    </w:p>
    <w:p w:rsidR="00CC7F10" w:rsidRPr="002672A2" w:rsidRDefault="00F9153D" w:rsidP="0034501E">
      <w:pPr>
        <w:jc w:val="center"/>
        <w:rPr>
          <w:rFonts w:ascii="Arial" w:hAnsi="Arial" w:cs="Arial"/>
          <w:sz w:val="22"/>
          <w:szCs w:val="22"/>
        </w:rPr>
      </w:pPr>
      <w:r w:rsidRPr="002672A2">
        <w:rPr>
          <w:rFonts w:ascii="Arial" w:hAnsi="Arial" w:cs="Arial"/>
          <w:sz w:val="24"/>
          <w:szCs w:val="24"/>
        </w:rPr>
        <w:t xml:space="preserve">Notice of </w:t>
      </w:r>
      <w:r w:rsidR="00C70F0E" w:rsidRPr="002672A2">
        <w:rPr>
          <w:rFonts w:ascii="Arial" w:hAnsi="Arial" w:cs="Arial"/>
          <w:sz w:val="24"/>
          <w:szCs w:val="24"/>
        </w:rPr>
        <w:t xml:space="preserve">Occurrence of </w:t>
      </w:r>
      <w:r w:rsidRPr="002672A2">
        <w:rPr>
          <w:rFonts w:ascii="Arial" w:hAnsi="Arial" w:cs="Arial"/>
          <w:sz w:val="24"/>
          <w:szCs w:val="24"/>
        </w:rPr>
        <w:t>M</w:t>
      </w:r>
      <w:r w:rsidR="00CC7F10" w:rsidRPr="002672A2">
        <w:rPr>
          <w:rFonts w:ascii="Arial" w:hAnsi="Arial" w:cs="Arial"/>
          <w:sz w:val="24"/>
          <w:szCs w:val="24"/>
        </w:rPr>
        <w:t xml:space="preserve">andatory </w:t>
      </w:r>
      <w:r w:rsidRPr="002672A2">
        <w:rPr>
          <w:rFonts w:ascii="Arial" w:hAnsi="Arial" w:cs="Arial"/>
          <w:sz w:val="24"/>
          <w:szCs w:val="24"/>
        </w:rPr>
        <w:t>C</w:t>
      </w:r>
      <w:r w:rsidR="00CC7F10" w:rsidRPr="002672A2">
        <w:rPr>
          <w:rFonts w:ascii="Arial" w:hAnsi="Arial" w:cs="Arial"/>
          <w:sz w:val="24"/>
          <w:szCs w:val="24"/>
        </w:rPr>
        <w:t xml:space="preserve">all </w:t>
      </w:r>
      <w:r w:rsidRPr="002672A2">
        <w:rPr>
          <w:rFonts w:ascii="Arial" w:hAnsi="Arial" w:cs="Arial"/>
          <w:sz w:val="24"/>
          <w:szCs w:val="24"/>
        </w:rPr>
        <w:t>E</w:t>
      </w:r>
      <w:r w:rsidR="00CC7F10" w:rsidRPr="002672A2">
        <w:rPr>
          <w:rFonts w:ascii="Arial" w:hAnsi="Arial" w:cs="Arial"/>
          <w:sz w:val="24"/>
          <w:szCs w:val="24"/>
        </w:rPr>
        <w:t>vent</w:t>
      </w:r>
      <w:r w:rsidRPr="002672A2">
        <w:rPr>
          <w:rFonts w:ascii="Arial" w:hAnsi="Arial" w:cs="Arial"/>
          <w:sz w:val="24"/>
          <w:szCs w:val="24"/>
        </w:rPr>
        <w:t xml:space="preserve"> and Early </w:t>
      </w:r>
      <w:r w:rsidR="00C70F0E" w:rsidRPr="002672A2">
        <w:rPr>
          <w:rFonts w:ascii="Arial" w:hAnsi="Arial" w:cs="Arial"/>
          <w:sz w:val="24"/>
          <w:szCs w:val="24"/>
        </w:rPr>
        <w:t xml:space="preserve">Expiry </w:t>
      </w:r>
      <w:r w:rsidRPr="002672A2">
        <w:rPr>
          <w:rFonts w:ascii="Arial" w:hAnsi="Arial" w:cs="Arial"/>
          <w:sz w:val="24"/>
          <w:szCs w:val="24"/>
        </w:rPr>
        <w:t xml:space="preserve">of </w:t>
      </w:r>
    </w:p>
    <w:p w:rsidR="004359E8" w:rsidRDefault="00CC7F10" w:rsidP="00F9153D">
      <w:pPr>
        <w:jc w:val="center"/>
        <w:rPr>
          <w:rFonts w:ascii="Arial" w:hAnsi="Arial" w:cs="Arial"/>
          <w:bCs/>
          <w:sz w:val="24"/>
          <w:szCs w:val="24"/>
        </w:rPr>
      </w:pPr>
      <w:r w:rsidRPr="002672A2">
        <w:rPr>
          <w:rFonts w:ascii="Arial" w:hAnsi="Arial" w:cs="Arial"/>
          <w:bCs/>
          <w:sz w:val="24"/>
          <w:szCs w:val="24"/>
        </w:rPr>
        <w:t xml:space="preserve">European Style (Cash Settled) </w:t>
      </w:r>
      <w:r w:rsidR="0097201D" w:rsidRPr="002672A2">
        <w:rPr>
          <w:rFonts w:ascii="Arial" w:hAnsi="Arial" w:cs="Arial"/>
          <w:bCs/>
          <w:sz w:val="24"/>
          <w:szCs w:val="24"/>
        </w:rPr>
        <w:t xml:space="preserve">Category </w:t>
      </w:r>
      <w:r w:rsidR="007D79F1">
        <w:rPr>
          <w:rFonts w:ascii="Arial" w:hAnsi="Arial" w:cs="Arial"/>
          <w:bCs/>
          <w:sz w:val="24"/>
          <w:szCs w:val="24"/>
        </w:rPr>
        <w:t>R</w:t>
      </w:r>
      <w:r w:rsidR="00D83238" w:rsidRPr="002672A2">
        <w:rPr>
          <w:rFonts w:ascii="Arial" w:hAnsi="Arial" w:cs="Arial"/>
          <w:bCs/>
          <w:sz w:val="24"/>
          <w:szCs w:val="24"/>
        </w:rPr>
        <w:t xml:space="preserve"> </w:t>
      </w:r>
      <w:r w:rsidR="00A9106A" w:rsidRPr="002672A2">
        <w:rPr>
          <w:rFonts w:ascii="Arial" w:hAnsi="Arial" w:cs="Arial"/>
          <w:bCs/>
          <w:sz w:val="24"/>
          <w:szCs w:val="24"/>
        </w:rPr>
        <w:t xml:space="preserve">Callable Bull/Bear Contracts </w:t>
      </w:r>
    </w:p>
    <w:p w:rsidR="001776AC" w:rsidRPr="002672A2" w:rsidRDefault="00A9106A" w:rsidP="00F9153D">
      <w:pPr>
        <w:jc w:val="center"/>
        <w:rPr>
          <w:rFonts w:ascii="Arial" w:hAnsi="Arial" w:cs="Arial"/>
          <w:bCs/>
          <w:sz w:val="24"/>
          <w:szCs w:val="24"/>
        </w:rPr>
      </w:pPr>
      <w:r w:rsidRPr="002672A2">
        <w:rPr>
          <w:rFonts w:ascii="Arial" w:hAnsi="Arial" w:cs="Arial"/>
          <w:bCs/>
          <w:sz w:val="24"/>
          <w:szCs w:val="24"/>
        </w:rPr>
        <w:t>(the “</w:t>
      </w:r>
      <w:r w:rsidR="00CC7F10" w:rsidRPr="002672A2">
        <w:rPr>
          <w:rFonts w:ascii="Arial" w:hAnsi="Arial" w:cs="Arial"/>
          <w:bCs/>
          <w:sz w:val="24"/>
          <w:szCs w:val="24"/>
        </w:rPr>
        <w:t>C</w:t>
      </w:r>
      <w:r w:rsidR="00CB3B1E" w:rsidRPr="002672A2">
        <w:rPr>
          <w:rFonts w:ascii="Arial" w:hAnsi="Arial" w:cs="Arial"/>
          <w:bCs/>
          <w:sz w:val="24"/>
          <w:szCs w:val="24"/>
        </w:rPr>
        <w:t>BBC</w:t>
      </w:r>
      <w:r w:rsidR="00CC7F10" w:rsidRPr="002672A2">
        <w:rPr>
          <w:rFonts w:ascii="Arial" w:hAnsi="Arial" w:cs="Arial"/>
          <w:bCs/>
          <w:sz w:val="24"/>
          <w:szCs w:val="24"/>
        </w:rPr>
        <w:t>s</w:t>
      </w:r>
      <w:r w:rsidRPr="002672A2">
        <w:rPr>
          <w:rFonts w:ascii="Arial" w:hAnsi="Arial" w:cs="Arial"/>
          <w:bCs/>
          <w:sz w:val="24"/>
          <w:szCs w:val="24"/>
        </w:rPr>
        <w:t>”)</w:t>
      </w:r>
      <w:r w:rsidR="00CC7F10" w:rsidRPr="002672A2">
        <w:rPr>
          <w:rFonts w:ascii="Arial" w:hAnsi="Arial" w:cs="Arial"/>
          <w:bCs/>
          <w:sz w:val="24"/>
          <w:szCs w:val="24"/>
        </w:rPr>
        <w:t xml:space="preserve"> </w:t>
      </w:r>
    </w:p>
    <w:p w:rsidR="00CC7F10" w:rsidRPr="00016501" w:rsidRDefault="00CC7F10" w:rsidP="00F9153D">
      <w:pPr>
        <w:jc w:val="center"/>
        <w:rPr>
          <w:rFonts w:ascii="Arial" w:hAnsi="Arial" w:cs="Arial"/>
          <w:b/>
          <w:sz w:val="24"/>
          <w:szCs w:val="24"/>
        </w:rPr>
      </w:pPr>
    </w:p>
    <w:p w:rsidR="00C10F93" w:rsidRDefault="00623533" w:rsidP="00F9153D">
      <w:pPr>
        <w:jc w:val="center"/>
        <w:rPr>
          <w:rFonts w:ascii="Arial" w:hAnsi="Arial" w:cs="Arial"/>
          <w:sz w:val="24"/>
          <w:szCs w:val="24"/>
        </w:rPr>
      </w:pPr>
      <w:r w:rsidRPr="00001686">
        <w:rPr>
          <w:rFonts w:ascii="Arial" w:hAnsi="Arial" w:cs="Arial"/>
          <w:sz w:val="24"/>
          <w:szCs w:val="24"/>
        </w:rPr>
        <w:t>i</w:t>
      </w:r>
      <w:r w:rsidR="00F9153D" w:rsidRPr="00001686">
        <w:rPr>
          <w:rFonts w:ascii="Arial" w:hAnsi="Arial" w:cs="Arial"/>
          <w:sz w:val="24"/>
          <w:szCs w:val="24"/>
        </w:rPr>
        <w:t>ssued by</w:t>
      </w:r>
      <w:r w:rsidR="00001686" w:rsidRPr="00001686">
        <w:rPr>
          <w:rFonts w:ascii="Arial" w:hAnsi="Arial" w:cs="Arial"/>
          <w:sz w:val="24"/>
          <w:szCs w:val="24"/>
        </w:rPr>
        <w:t xml:space="preserve"> </w:t>
      </w:r>
    </w:p>
    <w:p w:rsidR="00466D43" w:rsidRDefault="00466D43" w:rsidP="00F9153D">
      <w:pPr>
        <w:jc w:val="center"/>
        <w:rPr>
          <w:rFonts w:ascii="Arial" w:hAnsi="Arial" w:cs="Arial"/>
          <w:sz w:val="24"/>
          <w:szCs w:val="24"/>
        </w:rPr>
      </w:pPr>
    </w:p>
    <w:p w:rsidR="00F10E6F" w:rsidRDefault="00F10E6F" w:rsidP="00466D43">
      <w:pPr>
        <w:jc w:val="center"/>
        <w:rPr>
          <w:rFonts w:ascii="Arial" w:hAnsi="Arial" w:cs="Arial"/>
          <w:b/>
          <w:sz w:val="24"/>
          <w:szCs w:val="24"/>
        </w:rPr>
      </w:pPr>
      <w:r>
        <w:rPr>
          <w:rFonts w:ascii="Arial" w:hAnsi="Arial" w:cs="Arial"/>
          <w:b/>
          <w:sz w:val="24"/>
          <w:szCs w:val="24"/>
        </w:rPr>
        <w:t>The Hongkong and Shanghai Banking Corporation Limited</w:t>
      </w:r>
    </w:p>
    <w:p w:rsidR="00F10E6F" w:rsidRPr="00F10E6F" w:rsidRDefault="00F10E6F" w:rsidP="00466D43">
      <w:pPr>
        <w:jc w:val="center"/>
        <w:rPr>
          <w:rFonts w:ascii="Arial" w:hAnsi="Arial" w:cs="Arial"/>
          <w:i/>
          <w:sz w:val="20"/>
        </w:rPr>
      </w:pPr>
      <w:r w:rsidRPr="00F10E6F">
        <w:rPr>
          <w:rFonts w:ascii="Arial" w:hAnsi="Arial" w:cs="Arial"/>
          <w:i/>
          <w:sz w:val="20"/>
        </w:rPr>
        <w:t xml:space="preserve">(Incorporated in Hong Kong with limited liability under the Companies Ordinance of </w:t>
      </w:r>
      <w:smartTag w:uri="urn:schemas-microsoft-com:office:smarttags" w:element="place">
        <w:r w:rsidRPr="00F10E6F">
          <w:rPr>
            <w:rFonts w:ascii="Arial" w:hAnsi="Arial" w:cs="Arial"/>
            <w:i/>
            <w:sz w:val="20"/>
          </w:rPr>
          <w:t>Hong Kong</w:t>
        </w:r>
      </w:smartTag>
      <w:r w:rsidRPr="00F10E6F">
        <w:rPr>
          <w:rFonts w:ascii="Arial" w:hAnsi="Arial" w:cs="Arial"/>
          <w:i/>
          <w:sz w:val="20"/>
        </w:rPr>
        <w:t>)</w:t>
      </w:r>
    </w:p>
    <w:p w:rsidR="00D80EF1" w:rsidRDefault="00D80EF1" w:rsidP="00F9153D">
      <w:pPr>
        <w:jc w:val="center"/>
        <w:rPr>
          <w:rFonts w:ascii="Arial" w:hAnsi="Arial" w:cs="Arial"/>
          <w:sz w:val="24"/>
          <w:szCs w:val="24"/>
        </w:rPr>
      </w:pPr>
    </w:p>
    <w:p w:rsidR="009359DD" w:rsidRPr="009359DD" w:rsidRDefault="009359DD" w:rsidP="00F9153D">
      <w:pPr>
        <w:jc w:val="center"/>
        <w:rPr>
          <w:rFonts w:ascii="Arial" w:hAnsi="Arial" w:cs="Arial"/>
          <w:b/>
          <w:sz w:val="24"/>
          <w:szCs w:val="24"/>
        </w:rPr>
      </w:pPr>
      <w:r w:rsidRPr="009359DD">
        <w:rPr>
          <w:rFonts w:ascii="Arial" w:hAnsi="Arial" w:cs="Arial"/>
          <w:b/>
          <w:sz w:val="24"/>
          <w:szCs w:val="24"/>
        </w:rPr>
        <w:t>Non-collateralised Structured Products</w:t>
      </w:r>
    </w:p>
    <w:p w:rsidR="00F9153D" w:rsidRPr="00001686" w:rsidRDefault="00F9153D" w:rsidP="00F9153D">
      <w:pPr>
        <w:jc w:val="center"/>
        <w:rPr>
          <w:rFonts w:ascii="Arial" w:hAnsi="Arial" w:cs="Arial"/>
          <w:sz w:val="24"/>
          <w:szCs w:val="24"/>
        </w:rPr>
      </w:pPr>
    </w:p>
    <w:p w:rsidR="00F440AA" w:rsidRDefault="00E31BAD" w:rsidP="00E31BAD">
      <w:pPr>
        <w:jc w:val="both"/>
        <w:rPr>
          <w:rFonts w:ascii="Arial" w:hAnsi="Arial" w:cs="Arial"/>
          <w:i/>
          <w:sz w:val="20"/>
        </w:rPr>
      </w:pPr>
      <w:r>
        <w:rPr>
          <w:rFonts w:ascii="Arial" w:hAnsi="Arial" w:cs="Arial"/>
          <w:i/>
          <w:sz w:val="20"/>
        </w:rPr>
        <w:t xml:space="preserve">All capitalised terms not defined in this announcement have the same meaning as defined in the terms and conditions of the </w:t>
      </w:r>
      <w:r w:rsidR="004543B4">
        <w:rPr>
          <w:rFonts w:ascii="Arial" w:hAnsi="Arial" w:cs="Arial"/>
          <w:i/>
          <w:sz w:val="20"/>
        </w:rPr>
        <w:t xml:space="preserve">CBBCs </w:t>
      </w:r>
      <w:r w:rsidR="00BA6863">
        <w:rPr>
          <w:rFonts w:ascii="Arial" w:hAnsi="Arial" w:cs="Arial"/>
          <w:i/>
          <w:sz w:val="20"/>
        </w:rPr>
        <w:t>(the "</w:t>
      </w:r>
      <w:r w:rsidR="00BA6863" w:rsidRPr="00383055">
        <w:rPr>
          <w:rFonts w:ascii="Arial" w:hAnsi="Arial" w:cs="Arial"/>
          <w:b/>
          <w:i/>
          <w:sz w:val="20"/>
        </w:rPr>
        <w:t>Conditions</w:t>
      </w:r>
      <w:r w:rsidR="00BA6863">
        <w:rPr>
          <w:rFonts w:ascii="Arial" w:hAnsi="Arial" w:cs="Arial"/>
          <w:i/>
          <w:sz w:val="20"/>
        </w:rPr>
        <w:t>")</w:t>
      </w:r>
      <w:r>
        <w:rPr>
          <w:rFonts w:ascii="Arial" w:hAnsi="Arial" w:cs="Arial"/>
          <w:i/>
          <w:sz w:val="20"/>
        </w:rPr>
        <w:t xml:space="preserve">. </w:t>
      </w:r>
    </w:p>
    <w:p w:rsidR="00E31BAD" w:rsidRDefault="00E31BAD" w:rsidP="00F10E6F">
      <w:pPr>
        <w:jc w:val="both"/>
        <w:rPr>
          <w:rFonts w:ascii="Arial" w:hAnsi="Arial" w:cs="Arial"/>
          <w:szCs w:val="23"/>
        </w:rPr>
      </w:pPr>
    </w:p>
    <w:p w:rsidR="0087692F" w:rsidRDefault="00F10E6F" w:rsidP="00F10E6F">
      <w:pPr>
        <w:jc w:val="both"/>
        <w:rPr>
          <w:rFonts w:ascii="Arial" w:hAnsi="Arial" w:cs="Arial"/>
          <w:sz w:val="22"/>
          <w:szCs w:val="22"/>
        </w:rPr>
      </w:pPr>
      <w:r w:rsidRPr="00F10E6F">
        <w:rPr>
          <w:rFonts w:ascii="Arial" w:hAnsi="Arial" w:cs="Arial"/>
          <w:sz w:val="22"/>
          <w:szCs w:val="22"/>
        </w:rPr>
        <w:t xml:space="preserve">The Hongkong and Shanghai Banking Corporation </w:t>
      </w:r>
      <w:r w:rsidRPr="002129D5">
        <w:rPr>
          <w:rFonts w:ascii="Arial" w:hAnsi="Arial" w:cs="Arial"/>
          <w:sz w:val="22"/>
          <w:szCs w:val="22"/>
        </w:rPr>
        <w:t>Limited</w:t>
      </w:r>
      <w:r w:rsidR="0087692F" w:rsidRPr="002129D5">
        <w:rPr>
          <w:rFonts w:ascii="Arial" w:hAnsi="Arial" w:cs="Arial"/>
          <w:sz w:val="22"/>
          <w:szCs w:val="22"/>
        </w:rPr>
        <w:t xml:space="preserve"> (the “</w:t>
      </w:r>
      <w:r w:rsidR="0087692F" w:rsidRPr="00383055">
        <w:rPr>
          <w:rFonts w:ascii="Arial" w:hAnsi="Arial" w:cs="Arial"/>
          <w:b/>
          <w:sz w:val="22"/>
          <w:szCs w:val="22"/>
        </w:rPr>
        <w:t>Issuer</w:t>
      </w:r>
      <w:r w:rsidR="0087692F" w:rsidRPr="002129D5">
        <w:rPr>
          <w:rFonts w:ascii="Arial" w:hAnsi="Arial" w:cs="Arial"/>
          <w:sz w:val="22"/>
          <w:szCs w:val="22"/>
        </w:rPr>
        <w:t xml:space="preserve">”) </w:t>
      </w:r>
      <w:r w:rsidR="00C70F0E" w:rsidRPr="002129D5">
        <w:rPr>
          <w:rFonts w:ascii="Arial" w:hAnsi="Arial" w:cs="Arial"/>
          <w:sz w:val="22"/>
          <w:szCs w:val="22"/>
        </w:rPr>
        <w:t>announces</w:t>
      </w:r>
      <w:r w:rsidR="00EA1E3E" w:rsidRPr="002672A2">
        <w:rPr>
          <w:rFonts w:ascii="Arial" w:hAnsi="Arial" w:cs="Arial"/>
          <w:sz w:val="22"/>
          <w:szCs w:val="22"/>
        </w:rPr>
        <w:t xml:space="preserve"> </w:t>
      </w:r>
      <w:r w:rsidR="0087692F" w:rsidRPr="002672A2">
        <w:rPr>
          <w:rFonts w:ascii="Arial" w:hAnsi="Arial" w:cs="Arial"/>
          <w:sz w:val="22"/>
          <w:szCs w:val="22"/>
        </w:rPr>
        <w:t>that a Mandatory Call Event (“</w:t>
      </w:r>
      <w:r w:rsidR="0087692F" w:rsidRPr="00383055">
        <w:rPr>
          <w:rFonts w:ascii="Arial" w:hAnsi="Arial" w:cs="Arial"/>
          <w:b/>
          <w:sz w:val="22"/>
          <w:szCs w:val="22"/>
        </w:rPr>
        <w:t>MCE</w:t>
      </w:r>
      <w:r w:rsidR="0087692F" w:rsidRPr="002672A2">
        <w:rPr>
          <w:rFonts w:ascii="Arial" w:hAnsi="Arial" w:cs="Arial"/>
          <w:sz w:val="22"/>
          <w:szCs w:val="22"/>
        </w:rPr>
        <w:t xml:space="preserve">”) in respect of the </w:t>
      </w:r>
      <w:r w:rsidR="004543B4" w:rsidRPr="002672A2">
        <w:rPr>
          <w:rFonts w:ascii="Arial" w:hAnsi="Arial" w:cs="Arial"/>
          <w:sz w:val="22"/>
          <w:szCs w:val="22"/>
        </w:rPr>
        <w:t xml:space="preserve">CBBCs </w:t>
      </w:r>
      <w:r w:rsidR="0087692F" w:rsidRPr="002672A2">
        <w:rPr>
          <w:rFonts w:ascii="Arial" w:hAnsi="Arial" w:cs="Arial"/>
          <w:sz w:val="22"/>
          <w:szCs w:val="22"/>
        </w:rPr>
        <w:t>occurred</w:t>
      </w:r>
      <w:r w:rsidR="0098336B">
        <w:rPr>
          <w:rFonts w:ascii="Arial" w:hAnsi="Arial" w:cs="Arial"/>
          <w:sz w:val="22"/>
          <w:szCs w:val="22"/>
        </w:rPr>
        <w:t xml:space="preserve"> in the pre-opening session</w:t>
      </w:r>
      <w:r w:rsidR="00F6106E">
        <w:rPr>
          <w:rFonts w:ascii="Arial" w:hAnsi="Arial" w:cs="Arial"/>
          <w:sz w:val="22"/>
          <w:szCs w:val="22"/>
        </w:rPr>
        <w:t xml:space="preserve">, </w:t>
      </w:r>
      <w:r w:rsidR="00F6106E" w:rsidRPr="00F6106E">
        <w:rPr>
          <w:rFonts w:ascii="Arial" w:hAnsi="Arial" w:cs="Arial"/>
          <w:sz w:val="22"/>
          <w:szCs w:val="22"/>
        </w:rPr>
        <w:t>the continuous trading session or the closing auction session (as the case may be)</w:t>
      </w:r>
      <w:r w:rsidR="0098336B">
        <w:rPr>
          <w:rFonts w:ascii="Arial" w:hAnsi="Arial" w:cs="Arial"/>
          <w:sz w:val="22"/>
          <w:szCs w:val="22"/>
        </w:rPr>
        <w:t xml:space="preserve"> </w:t>
      </w:r>
      <w:r w:rsidR="00A03807" w:rsidRPr="002672A2">
        <w:rPr>
          <w:rFonts w:ascii="Arial" w:hAnsi="Arial" w:cs="Arial"/>
          <w:sz w:val="22"/>
          <w:szCs w:val="22"/>
        </w:rPr>
        <w:t xml:space="preserve">of the Stock Exchange </w:t>
      </w:r>
      <w:r w:rsidR="00425071" w:rsidRPr="002672A2">
        <w:rPr>
          <w:rFonts w:ascii="Arial" w:hAnsi="Arial" w:cs="Arial"/>
          <w:sz w:val="22"/>
          <w:szCs w:val="22"/>
        </w:rPr>
        <w:t xml:space="preserve">at the time </w:t>
      </w:r>
      <w:r w:rsidR="007641EE" w:rsidRPr="002129D5">
        <w:rPr>
          <w:rFonts w:ascii="Arial" w:hAnsi="Arial" w:cs="Arial"/>
          <w:sz w:val="22"/>
          <w:szCs w:val="22"/>
        </w:rPr>
        <w:t>(the “</w:t>
      </w:r>
      <w:r w:rsidR="007641EE" w:rsidRPr="00383055">
        <w:rPr>
          <w:rFonts w:ascii="Arial" w:hAnsi="Arial" w:cs="Arial"/>
          <w:b/>
          <w:sz w:val="22"/>
          <w:szCs w:val="22"/>
        </w:rPr>
        <w:t>MCE Time</w:t>
      </w:r>
      <w:r w:rsidR="007641EE" w:rsidRPr="002129D5">
        <w:rPr>
          <w:rFonts w:ascii="Arial" w:hAnsi="Arial" w:cs="Arial"/>
          <w:sz w:val="22"/>
          <w:szCs w:val="22"/>
        </w:rPr>
        <w:t>”)</w:t>
      </w:r>
      <w:r w:rsidR="00A03807" w:rsidRPr="002129D5">
        <w:rPr>
          <w:rFonts w:ascii="Arial" w:hAnsi="Arial" w:cs="Arial"/>
          <w:sz w:val="22"/>
          <w:szCs w:val="22"/>
        </w:rPr>
        <w:t xml:space="preserve"> </w:t>
      </w:r>
      <w:r w:rsidR="00A03807" w:rsidRPr="002672A2">
        <w:rPr>
          <w:rFonts w:ascii="Arial" w:hAnsi="Arial" w:cs="Arial"/>
          <w:sz w:val="22"/>
          <w:szCs w:val="22"/>
        </w:rPr>
        <w:t>specified in the table below on</w:t>
      </w:r>
      <w:r w:rsidR="0087692F" w:rsidRPr="002129D5">
        <w:rPr>
          <w:rFonts w:ascii="Arial" w:hAnsi="Arial" w:cs="Arial"/>
          <w:sz w:val="22"/>
          <w:szCs w:val="22"/>
        </w:rPr>
        <w:t xml:space="preserve"> </w:t>
      </w:r>
      <w:r w:rsidR="00BA3033" w:rsidRPr="00BA3033">
        <w:rPr>
          <w:rFonts w:ascii="Arial" w:hAnsi="Arial" w:cs="Arial"/>
          <w:sz w:val="22"/>
          <w:szCs w:val="22"/>
        </w:rPr>
        <w:t>09 Feb 2026</w:t>
      </w:r>
      <w:r w:rsidR="00F952AD" w:rsidRPr="002129D5">
        <w:rPr>
          <w:rFonts w:ascii="Arial" w:hAnsi="Arial" w:cs="Arial"/>
          <w:sz w:val="22"/>
          <w:szCs w:val="22"/>
        </w:rPr>
        <w:t xml:space="preserve"> </w:t>
      </w:r>
      <w:r w:rsidR="00461299" w:rsidRPr="002672A2">
        <w:rPr>
          <w:rFonts w:ascii="Arial" w:hAnsi="Arial" w:cs="Arial"/>
          <w:sz w:val="22"/>
          <w:szCs w:val="22"/>
        </w:rPr>
        <w:t>(the "</w:t>
      </w:r>
      <w:r w:rsidR="00461299" w:rsidRPr="00383055">
        <w:rPr>
          <w:rFonts w:ascii="Arial" w:hAnsi="Arial" w:cs="Arial"/>
          <w:b/>
          <w:sz w:val="22"/>
          <w:szCs w:val="22"/>
        </w:rPr>
        <w:t>MCE Date</w:t>
      </w:r>
      <w:r w:rsidR="00461299" w:rsidRPr="002672A2">
        <w:rPr>
          <w:rFonts w:ascii="Arial" w:hAnsi="Arial" w:cs="Arial"/>
          <w:sz w:val="22"/>
          <w:szCs w:val="22"/>
        </w:rPr>
        <w:t>")</w:t>
      </w:r>
      <w:r w:rsidR="00623533" w:rsidRPr="002672A2">
        <w:rPr>
          <w:rFonts w:ascii="Arial" w:hAnsi="Arial" w:cs="Arial"/>
          <w:sz w:val="22"/>
          <w:szCs w:val="22"/>
        </w:rPr>
        <w:t xml:space="preserve"> and the </w:t>
      </w:r>
      <w:r w:rsidR="004543B4" w:rsidRPr="002672A2">
        <w:rPr>
          <w:rFonts w:ascii="Arial" w:hAnsi="Arial" w:cs="Arial"/>
          <w:sz w:val="22"/>
          <w:szCs w:val="22"/>
        </w:rPr>
        <w:t xml:space="preserve">CBBCs </w:t>
      </w:r>
      <w:r w:rsidR="00623533" w:rsidRPr="002672A2">
        <w:rPr>
          <w:rFonts w:ascii="Arial" w:hAnsi="Arial" w:cs="Arial"/>
          <w:sz w:val="22"/>
          <w:szCs w:val="22"/>
        </w:rPr>
        <w:t>have automatically expired</w:t>
      </w:r>
      <w:r w:rsidR="00BA6863" w:rsidRPr="002672A2">
        <w:rPr>
          <w:rFonts w:ascii="Arial" w:hAnsi="Arial" w:cs="Arial"/>
          <w:sz w:val="22"/>
          <w:szCs w:val="22"/>
        </w:rPr>
        <w:t>.</w:t>
      </w:r>
      <w:r w:rsidR="00F710B4" w:rsidRPr="002672A2">
        <w:rPr>
          <w:rFonts w:ascii="Arial" w:hAnsi="Arial" w:cs="Arial"/>
          <w:sz w:val="22"/>
          <w:szCs w:val="22"/>
        </w:rPr>
        <w:t xml:space="preserve">  </w:t>
      </w:r>
      <w:r w:rsidR="00BA6863" w:rsidRPr="002672A2">
        <w:rPr>
          <w:rFonts w:ascii="Arial" w:hAnsi="Arial" w:cs="Arial"/>
          <w:sz w:val="22"/>
          <w:szCs w:val="22"/>
        </w:rPr>
        <w:t>A</w:t>
      </w:r>
      <w:r w:rsidR="00C70F0E" w:rsidRPr="002672A2">
        <w:rPr>
          <w:rFonts w:ascii="Arial" w:hAnsi="Arial" w:cs="Arial"/>
          <w:sz w:val="22"/>
          <w:szCs w:val="22"/>
        </w:rPr>
        <w:t>s a resul</w:t>
      </w:r>
      <w:r w:rsidR="00BA6863" w:rsidRPr="002672A2">
        <w:rPr>
          <w:rFonts w:ascii="Arial" w:hAnsi="Arial" w:cs="Arial"/>
          <w:sz w:val="22"/>
          <w:szCs w:val="22"/>
        </w:rPr>
        <w:t>t,</w:t>
      </w:r>
      <w:r w:rsidR="0087692F" w:rsidRPr="002672A2">
        <w:rPr>
          <w:rFonts w:ascii="Arial" w:hAnsi="Arial" w:cs="Arial"/>
          <w:sz w:val="22"/>
          <w:szCs w:val="22"/>
        </w:rPr>
        <w:t xml:space="preserve"> trading </w:t>
      </w:r>
      <w:r w:rsidR="005B5E9A" w:rsidRPr="002672A2">
        <w:rPr>
          <w:rFonts w:ascii="Arial" w:hAnsi="Arial" w:cs="Arial"/>
          <w:sz w:val="22"/>
          <w:szCs w:val="22"/>
        </w:rPr>
        <w:t xml:space="preserve">in </w:t>
      </w:r>
      <w:r w:rsidR="0087692F" w:rsidRPr="002672A2">
        <w:rPr>
          <w:rFonts w:ascii="Arial" w:hAnsi="Arial" w:cs="Arial"/>
          <w:sz w:val="22"/>
          <w:szCs w:val="22"/>
        </w:rPr>
        <w:t xml:space="preserve">the </w:t>
      </w:r>
      <w:r w:rsidR="004543B4" w:rsidRPr="002672A2">
        <w:rPr>
          <w:rFonts w:ascii="Arial" w:hAnsi="Arial" w:cs="Arial"/>
          <w:sz w:val="22"/>
          <w:szCs w:val="22"/>
        </w:rPr>
        <w:t xml:space="preserve">CBBCs </w:t>
      </w:r>
      <w:r w:rsidR="00BA6863" w:rsidRPr="002672A2">
        <w:rPr>
          <w:rFonts w:ascii="Arial" w:hAnsi="Arial" w:cs="Arial"/>
          <w:sz w:val="22"/>
          <w:szCs w:val="22"/>
        </w:rPr>
        <w:t>on the Stock Exchange</w:t>
      </w:r>
      <w:r w:rsidR="00C70F0E" w:rsidRPr="002672A2">
        <w:rPr>
          <w:rFonts w:ascii="Arial" w:hAnsi="Arial" w:cs="Arial"/>
          <w:sz w:val="22"/>
          <w:szCs w:val="22"/>
        </w:rPr>
        <w:t xml:space="preserve"> </w:t>
      </w:r>
      <w:r w:rsidR="0087692F" w:rsidRPr="002672A2">
        <w:rPr>
          <w:rFonts w:ascii="Arial" w:hAnsi="Arial" w:cs="Arial"/>
          <w:sz w:val="22"/>
          <w:szCs w:val="22"/>
        </w:rPr>
        <w:t xml:space="preserve">has been suspended by the </w:t>
      </w:r>
      <w:r w:rsidR="00C70F0E" w:rsidRPr="002672A2">
        <w:rPr>
          <w:rFonts w:ascii="Arial" w:hAnsi="Arial" w:cs="Arial"/>
          <w:sz w:val="22"/>
          <w:szCs w:val="22"/>
        </w:rPr>
        <w:t>Stock</w:t>
      </w:r>
      <w:r w:rsidR="00C70F0E" w:rsidRPr="00C93B1B">
        <w:rPr>
          <w:rFonts w:ascii="Arial" w:hAnsi="Arial" w:cs="Arial"/>
          <w:sz w:val="22"/>
          <w:szCs w:val="22"/>
        </w:rPr>
        <w:t xml:space="preserve"> </w:t>
      </w:r>
      <w:r w:rsidR="0087692F" w:rsidRPr="00C93B1B">
        <w:rPr>
          <w:rFonts w:ascii="Arial" w:hAnsi="Arial" w:cs="Arial"/>
          <w:sz w:val="22"/>
          <w:szCs w:val="22"/>
        </w:rPr>
        <w:t>Exchange on behalf of the Issuer</w:t>
      </w:r>
      <w:r w:rsidR="00461299" w:rsidRPr="00C93B1B">
        <w:rPr>
          <w:rFonts w:ascii="Arial" w:hAnsi="Arial" w:cs="Arial"/>
          <w:sz w:val="22"/>
          <w:szCs w:val="22"/>
        </w:rPr>
        <w:t xml:space="preserve"> and the </w:t>
      </w:r>
      <w:r w:rsidR="004543B4">
        <w:rPr>
          <w:rFonts w:ascii="Arial" w:hAnsi="Arial" w:cs="Arial"/>
          <w:sz w:val="22"/>
          <w:szCs w:val="22"/>
        </w:rPr>
        <w:t xml:space="preserve">CBBCs </w:t>
      </w:r>
      <w:r w:rsidR="00461299" w:rsidRPr="00C93B1B">
        <w:rPr>
          <w:rFonts w:ascii="Arial" w:hAnsi="Arial" w:cs="Arial"/>
          <w:sz w:val="22"/>
          <w:szCs w:val="22"/>
        </w:rPr>
        <w:t>will be delisted after the close of business on the MCE Date</w:t>
      </w:r>
      <w:r w:rsidR="0087692F" w:rsidRPr="00C93B1B">
        <w:rPr>
          <w:rFonts w:ascii="Arial" w:hAnsi="Arial" w:cs="Arial"/>
          <w:sz w:val="22"/>
          <w:szCs w:val="22"/>
        </w:rPr>
        <w:t>.</w:t>
      </w:r>
      <w:r w:rsidR="00C10F93" w:rsidRPr="00C93B1B">
        <w:rPr>
          <w:rFonts w:ascii="Arial" w:hAnsi="Arial" w:cs="Arial"/>
          <w:sz w:val="22"/>
          <w:szCs w:val="22"/>
        </w:rPr>
        <w:t xml:space="preserve"> </w:t>
      </w:r>
      <w:r w:rsidR="00D87786">
        <w:rPr>
          <w:rFonts w:ascii="Arial" w:hAnsi="Arial" w:cs="Arial"/>
          <w:sz w:val="22"/>
          <w:szCs w:val="22"/>
        </w:rPr>
        <w:t xml:space="preserve">The Issuer will pay to each </w:t>
      </w:r>
      <w:r w:rsidR="004543B4">
        <w:rPr>
          <w:rFonts w:ascii="Arial" w:hAnsi="Arial" w:cs="Arial"/>
          <w:sz w:val="22"/>
          <w:szCs w:val="22"/>
        </w:rPr>
        <w:t xml:space="preserve">CBBC Holder </w:t>
      </w:r>
      <w:r w:rsidR="00D87786">
        <w:rPr>
          <w:rFonts w:ascii="Arial" w:hAnsi="Arial" w:cs="Arial"/>
          <w:sz w:val="22"/>
          <w:szCs w:val="22"/>
        </w:rPr>
        <w:t xml:space="preserve">(as shown in the register kept by </w:t>
      </w:r>
      <w:r w:rsidR="004543B4">
        <w:rPr>
          <w:rFonts w:ascii="Arial" w:hAnsi="Arial" w:cs="Arial"/>
          <w:sz w:val="22"/>
          <w:szCs w:val="22"/>
        </w:rPr>
        <w:t xml:space="preserve">us </w:t>
      </w:r>
      <w:r w:rsidR="00D87786">
        <w:rPr>
          <w:rFonts w:ascii="Arial" w:hAnsi="Arial" w:cs="Arial"/>
          <w:sz w:val="22"/>
          <w:szCs w:val="22"/>
        </w:rPr>
        <w:t xml:space="preserve">on the MCE Date) the </w:t>
      </w:r>
      <w:r w:rsidR="004543B4">
        <w:rPr>
          <w:rFonts w:ascii="Arial" w:hAnsi="Arial" w:cs="Arial"/>
          <w:sz w:val="22"/>
          <w:szCs w:val="22"/>
        </w:rPr>
        <w:t xml:space="preserve">Residual Value </w:t>
      </w:r>
      <w:r w:rsidR="00D87786">
        <w:rPr>
          <w:rFonts w:ascii="Arial" w:hAnsi="Arial" w:cs="Arial"/>
          <w:sz w:val="22"/>
          <w:szCs w:val="22"/>
        </w:rPr>
        <w:t xml:space="preserve">(if any) in respect of each </w:t>
      </w:r>
      <w:r w:rsidR="004543B4">
        <w:rPr>
          <w:rFonts w:ascii="Arial" w:hAnsi="Arial" w:cs="Arial"/>
          <w:sz w:val="22"/>
          <w:szCs w:val="22"/>
        </w:rPr>
        <w:t xml:space="preserve">Board Lot </w:t>
      </w:r>
      <w:r w:rsidR="00D87786">
        <w:rPr>
          <w:rFonts w:ascii="Arial" w:hAnsi="Arial" w:cs="Arial"/>
          <w:sz w:val="22"/>
          <w:szCs w:val="22"/>
        </w:rPr>
        <w:t xml:space="preserve">of </w:t>
      </w:r>
      <w:r w:rsidR="004543B4">
        <w:rPr>
          <w:rFonts w:ascii="Arial" w:hAnsi="Arial" w:cs="Arial"/>
          <w:sz w:val="22"/>
          <w:szCs w:val="22"/>
        </w:rPr>
        <w:t xml:space="preserve">CBBCs </w:t>
      </w:r>
      <w:r w:rsidR="00D87786">
        <w:rPr>
          <w:rFonts w:ascii="Arial" w:hAnsi="Arial" w:cs="Arial"/>
          <w:sz w:val="22"/>
          <w:szCs w:val="22"/>
        </w:rPr>
        <w:t xml:space="preserve">held by the </w:t>
      </w:r>
      <w:r w:rsidR="004543B4">
        <w:rPr>
          <w:rFonts w:ascii="Arial" w:hAnsi="Arial" w:cs="Arial"/>
          <w:sz w:val="22"/>
          <w:szCs w:val="22"/>
        </w:rPr>
        <w:t xml:space="preserve">CBBC Holder </w:t>
      </w:r>
      <w:r w:rsidR="00D87786">
        <w:rPr>
          <w:rFonts w:ascii="Arial" w:hAnsi="Arial" w:cs="Arial"/>
          <w:sz w:val="22"/>
          <w:szCs w:val="22"/>
        </w:rPr>
        <w:t>in accordance with the Conditions on the Settlement Date.</w:t>
      </w:r>
    </w:p>
    <w:p w:rsidR="00D96D78" w:rsidRDefault="00D96D78" w:rsidP="00F10E6F">
      <w:pPr>
        <w:jc w:val="both"/>
        <w:rPr>
          <w:rFonts w:ascii="Arial" w:hAnsi="Arial" w:cs="Arial"/>
          <w:sz w:val="22"/>
          <w:szCs w:val="22"/>
        </w:rPr>
      </w:pPr>
    </w:p>
    <w:p w:rsidR="00D96D78" w:rsidRDefault="00D96D78" w:rsidP="00D96D78">
      <w:pPr>
        <w:jc w:val="both"/>
        <w:rPr>
          <w:rFonts w:ascii="Arial" w:hAnsi="Arial" w:cs="Arial"/>
          <w:sz w:val="22"/>
          <w:szCs w:val="22"/>
        </w:rPr>
      </w:pPr>
      <w:r>
        <w:rPr>
          <w:rFonts w:ascii="Arial" w:hAnsi="Arial" w:cs="Arial"/>
          <w:sz w:val="22"/>
          <w:szCs w:val="22"/>
        </w:rPr>
        <w:t>Market participants (“</w:t>
      </w:r>
      <w:r w:rsidRPr="00383055">
        <w:rPr>
          <w:rFonts w:ascii="Arial" w:hAnsi="Arial" w:cs="Arial"/>
          <w:b/>
          <w:sz w:val="22"/>
          <w:szCs w:val="22"/>
        </w:rPr>
        <w:t>MPs</w:t>
      </w:r>
      <w:r>
        <w:rPr>
          <w:rFonts w:ascii="Arial" w:hAnsi="Arial" w:cs="Arial"/>
          <w:sz w:val="22"/>
          <w:szCs w:val="22"/>
        </w:rPr>
        <w:t>”) may also refer to the Issuer’s website at</w:t>
      </w:r>
      <w:r>
        <w:rPr>
          <w:rFonts w:ascii="Arial" w:hAnsi="Arial" w:cs="Arial"/>
          <w:b/>
          <w:sz w:val="24"/>
          <w:szCs w:val="24"/>
        </w:rPr>
        <w:t xml:space="preserve">  </w:t>
      </w:r>
      <w:hyperlink r:id="rId9" w:history="1">
        <w:r>
          <w:rPr>
            <w:rStyle w:val="Hyperlink"/>
            <w:rFonts w:ascii="Arial" w:hAnsi="Arial" w:cs="Arial"/>
            <w:sz w:val="22"/>
            <w:szCs w:val="22"/>
          </w:rPr>
          <w:t>https://www.warrants.hsbc.com.hk/en/index</w:t>
        </w:r>
      </w:hyperlink>
      <w:r>
        <w:rPr>
          <w:rFonts w:ascii="Arial" w:hAnsi="Arial" w:cs="Arial"/>
          <w:b/>
          <w:sz w:val="24"/>
          <w:szCs w:val="24"/>
        </w:rPr>
        <w:t xml:space="preserve"> </w:t>
      </w:r>
      <w:r>
        <w:rPr>
          <w:rFonts w:ascii="Arial" w:hAnsi="Arial" w:cs="Arial"/>
          <w:sz w:val="22"/>
          <w:szCs w:val="22"/>
        </w:rPr>
        <w:t xml:space="preserve">and the Stock Exchange’s website at </w:t>
      </w:r>
      <w:hyperlink r:id="rId10" w:history="1">
        <w:r w:rsidR="00560D68" w:rsidRPr="00560D68">
          <w:rPr>
            <w:rStyle w:val="Hyperlink"/>
            <w:rFonts w:ascii="Arial" w:hAnsi="Arial" w:cs="Arial"/>
            <w:sz w:val="22"/>
            <w:szCs w:val="22"/>
          </w:rPr>
          <w:t>https://www.hkex.com.hk/eng/cbbc/mce/mcetoday.htm</w:t>
        </w:r>
      </w:hyperlink>
      <w:r w:rsidR="00560D68">
        <w:rPr>
          <w:rFonts w:ascii="Arial" w:hAnsi="Arial" w:cs="Arial"/>
          <w:sz w:val="22"/>
          <w:szCs w:val="22"/>
        </w:rPr>
        <w:t xml:space="preserve"> </w:t>
      </w:r>
      <w:r>
        <w:rPr>
          <w:rFonts w:ascii="Arial" w:hAnsi="Arial" w:cs="Arial"/>
          <w:sz w:val="22"/>
          <w:szCs w:val="22"/>
        </w:rPr>
        <w:t>on the MCE Date for information on the MCE Time.</w:t>
      </w:r>
    </w:p>
    <w:p w:rsidR="00A4454C" w:rsidRDefault="00A4454C" w:rsidP="00F440AA">
      <w:pPr>
        <w:jc w:val="both"/>
        <w:rPr>
          <w:rFonts w:ascii="Arial" w:hAnsi="Arial" w:cs="Arial"/>
          <w:sz w:val="22"/>
          <w:szCs w:val="22"/>
        </w:rPr>
      </w:pPr>
    </w:p>
    <w:p w:rsidR="00F440AA" w:rsidRDefault="00D87786" w:rsidP="00F440AA">
      <w:pPr>
        <w:jc w:val="both"/>
        <w:rPr>
          <w:rFonts w:ascii="Arial" w:hAnsi="Arial" w:cs="Arial"/>
          <w:sz w:val="22"/>
          <w:szCs w:val="22"/>
        </w:rPr>
      </w:pPr>
      <w:r>
        <w:rPr>
          <w:rFonts w:ascii="Arial" w:hAnsi="Arial" w:cs="Arial"/>
          <w:sz w:val="22"/>
          <w:szCs w:val="22"/>
        </w:rPr>
        <w:t xml:space="preserve">Payment of the </w:t>
      </w:r>
      <w:r w:rsidR="004543B4">
        <w:rPr>
          <w:rFonts w:ascii="Arial" w:hAnsi="Arial" w:cs="Arial"/>
          <w:sz w:val="22"/>
          <w:szCs w:val="22"/>
        </w:rPr>
        <w:t>Residual Value</w:t>
      </w:r>
      <w:r>
        <w:rPr>
          <w:rFonts w:ascii="Arial" w:hAnsi="Arial" w:cs="Arial"/>
          <w:sz w:val="22"/>
          <w:szCs w:val="22"/>
        </w:rPr>
        <w:t xml:space="preserve"> (if any) shall constitute full and final settlement of the obligations of the Issuer with respect to the </w:t>
      </w:r>
      <w:r w:rsidR="004543B4">
        <w:rPr>
          <w:rFonts w:ascii="Arial" w:hAnsi="Arial" w:cs="Arial"/>
          <w:sz w:val="22"/>
          <w:szCs w:val="22"/>
        </w:rPr>
        <w:t>CBBCs</w:t>
      </w:r>
      <w:r>
        <w:rPr>
          <w:rFonts w:ascii="Arial" w:hAnsi="Arial" w:cs="Arial"/>
          <w:sz w:val="22"/>
          <w:szCs w:val="22"/>
        </w:rPr>
        <w:t>.</w:t>
      </w:r>
      <w:r w:rsidR="004543B4">
        <w:rPr>
          <w:rFonts w:ascii="Arial" w:hAnsi="Arial" w:cs="Arial"/>
          <w:sz w:val="22"/>
          <w:szCs w:val="22"/>
        </w:rPr>
        <w:t xml:space="preserve">  </w:t>
      </w:r>
      <w:r>
        <w:rPr>
          <w:rFonts w:ascii="Arial" w:hAnsi="Arial" w:cs="Arial"/>
          <w:sz w:val="22"/>
          <w:szCs w:val="22"/>
        </w:rPr>
        <w:t xml:space="preserve">Subject to such payment having been made, the Issuer shall have no obligation towards the </w:t>
      </w:r>
      <w:r w:rsidR="004543B4">
        <w:rPr>
          <w:rFonts w:ascii="Arial" w:hAnsi="Arial" w:cs="Arial"/>
          <w:sz w:val="22"/>
          <w:szCs w:val="22"/>
        </w:rPr>
        <w:t xml:space="preserve">CBBC Holders </w:t>
      </w:r>
      <w:r>
        <w:rPr>
          <w:rFonts w:ascii="Arial" w:hAnsi="Arial" w:cs="Arial"/>
          <w:sz w:val="22"/>
          <w:szCs w:val="22"/>
        </w:rPr>
        <w:t xml:space="preserve">under the </w:t>
      </w:r>
      <w:r w:rsidR="004543B4">
        <w:rPr>
          <w:rFonts w:ascii="Arial" w:hAnsi="Arial" w:cs="Arial"/>
          <w:sz w:val="22"/>
          <w:szCs w:val="22"/>
        </w:rPr>
        <w:t xml:space="preserve">CBBCs </w:t>
      </w:r>
      <w:r>
        <w:rPr>
          <w:rFonts w:ascii="Arial" w:hAnsi="Arial" w:cs="Arial"/>
          <w:sz w:val="22"/>
          <w:szCs w:val="22"/>
        </w:rPr>
        <w:t xml:space="preserve">subsequent to the </w:t>
      </w:r>
      <w:r w:rsidR="004543B4">
        <w:rPr>
          <w:rFonts w:ascii="Arial" w:hAnsi="Arial" w:cs="Arial"/>
          <w:sz w:val="22"/>
          <w:szCs w:val="22"/>
        </w:rPr>
        <w:t>MCE</w:t>
      </w:r>
      <w:r>
        <w:rPr>
          <w:rFonts w:ascii="Arial" w:hAnsi="Arial" w:cs="Arial"/>
          <w:sz w:val="22"/>
          <w:szCs w:val="22"/>
        </w:rPr>
        <w:t xml:space="preserve"> Date. </w:t>
      </w:r>
    </w:p>
    <w:p w:rsidR="00A4454C" w:rsidRPr="002129D5" w:rsidRDefault="00A4454C" w:rsidP="00F440AA">
      <w:pPr>
        <w:jc w:val="both"/>
        <w:rPr>
          <w:rFonts w:ascii="Arial" w:hAnsi="Arial" w:cs="Arial"/>
          <w:sz w:val="22"/>
          <w:szCs w:val="22"/>
        </w:rPr>
      </w:pPr>
    </w:p>
    <w:p w:rsidR="00F440AA" w:rsidRPr="00200750" w:rsidRDefault="0087692F" w:rsidP="00DE6F32">
      <w:pPr>
        <w:jc w:val="both"/>
        <w:rPr>
          <w:rFonts w:ascii="Arial" w:hAnsi="Arial" w:cs="Arial"/>
          <w:sz w:val="22"/>
          <w:szCs w:val="22"/>
        </w:rPr>
      </w:pPr>
      <w:r w:rsidRPr="002672A2">
        <w:rPr>
          <w:rFonts w:ascii="Arial" w:hAnsi="Arial" w:cs="Arial"/>
          <w:sz w:val="22"/>
          <w:szCs w:val="22"/>
        </w:rPr>
        <w:t>M</w:t>
      </w:r>
      <w:r w:rsidR="00D96D78">
        <w:rPr>
          <w:rFonts w:ascii="Arial" w:hAnsi="Arial" w:cs="Arial"/>
          <w:sz w:val="22"/>
          <w:szCs w:val="22"/>
        </w:rPr>
        <w:t>P</w:t>
      </w:r>
      <w:r w:rsidRPr="002672A2">
        <w:rPr>
          <w:rFonts w:ascii="Arial" w:hAnsi="Arial" w:cs="Arial"/>
          <w:sz w:val="22"/>
          <w:szCs w:val="22"/>
        </w:rPr>
        <w:t xml:space="preserve">s </w:t>
      </w:r>
      <w:r w:rsidR="00461299" w:rsidRPr="002672A2">
        <w:rPr>
          <w:rFonts w:ascii="Arial" w:hAnsi="Arial" w:cs="Arial"/>
          <w:sz w:val="22"/>
          <w:szCs w:val="22"/>
        </w:rPr>
        <w:t xml:space="preserve">should </w:t>
      </w:r>
      <w:r w:rsidRPr="002672A2">
        <w:rPr>
          <w:rFonts w:ascii="Arial" w:hAnsi="Arial" w:cs="Arial"/>
          <w:sz w:val="22"/>
          <w:szCs w:val="22"/>
        </w:rPr>
        <w:t>note that</w:t>
      </w:r>
      <w:r w:rsidR="00F440AA" w:rsidRPr="002672A2">
        <w:rPr>
          <w:rFonts w:ascii="Arial" w:hAnsi="Arial" w:cs="Arial"/>
          <w:sz w:val="22"/>
          <w:szCs w:val="22"/>
        </w:rPr>
        <w:t xml:space="preserve"> </w:t>
      </w:r>
      <w:r w:rsidRPr="002672A2">
        <w:rPr>
          <w:rFonts w:ascii="Arial" w:hAnsi="Arial" w:cs="Arial"/>
          <w:sz w:val="22"/>
          <w:szCs w:val="22"/>
        </w:rPr>
        <w:t xml:space="preserve">all </w:t>
      </w:r>
      <w:r w:rsidR="00F440AA" w:rsidRPr="002672A2">
        <w:rPr>
          <w:rFonts w:ascii="Arial" w:hAnsi="Arial" w:cs="Arial"/>
          <w:sz w:val="22"/>
          <w:szCs w:val="22"/>
        </w:rPr>
        <w:t>Post MCE Trades will</w:t>
      </w:r>
      <w:r w:rsidR="00F62BC0" w:rsidRPr="002672A2">
        <w:rPr>
          <w:rFonts w:ascii="Arial" w:hAnsi="Arial" w:cs="Arial"/>
          <w:sz w:val="22"/>
          <w:szCs w:val="22"/>
        </w:rPr>
        <w:t xml:space="preserve"> not be recognised and will</w:t>
      </w:r>
      <w:r w:rsidR="00F440AA" w:rsidRPr="002672A2">
        <w:rPr>
          <w:rFonts w:ascii="Arial" w:hAnsi="Arial" w:cs="Arial"/>
          <w:sz w:val="22"/>
          <w:szCs w:val="22"/>
        </w:rPr>
        <w:t xml:space="preserve"> be cancelled by the </w:t>
      </w:r>
      <w:r w:rsidR="00C70F0E" w:rsidRPr="002672A2">
        <w:rPr>
          <w:rFonts w:ascii="Arial" w:hAnsi="Arial" w:cs="Arial"/>
          <w:sz w:val="22"/>
          <w:szCs w:val="22"/>
        </w:rPr>
        <w:t xml:space="preserve">Stock </w:t>
      </w:r>
      <w:r w:rsidR="00F440AA" w:rsidRPr="002672A2">
        <w:rPr>
          <w:rFonts w:ascii="Arial" w:hAnsi="Arial" w:cs="Arial"/>
          <w:sz w:val="22"/>
          <w:szCs w:val="22"/>
        </w:rPr>
        <w:t xml:space="preserve">Exchange </w:t>
      </w:r>
      <w:r w:rsidR="00F440AA" w:rsidRPr="003B3D18">
        <w:rPr>
          <w:rFonts w:ascii="Arial" w:hAnsi="Arial" w:cs="Arial"/>
          <w:color w:val="000000"/>
          <w:sz w:val="22"/>
          <w:szCs w:val="22"/>
        </w:rPr>
        <w:t xml:space="preserve">either on </w:t>
      </w:r>
      <w:r w:rsidR="009852C3" w:rsidRPr="003B3D18">
        <w:rPr>
          <w:rFonts w:ascii="Arial" w:hAnsi="Arial" w:cs="Arial"/>
          <w:color w:val="000000"/>
          <w:sz w:val="22"/>
          <w:szCs w:val="22"/>
        </w:rPr>
        <w:t>the MCE Date</w:t>
      </w:r>
      <w:r w:rsidR="00047EA3" w:rsidRPr="003B3D18">
        <w:rPr>
          <w:rFonts w:ascii="Arial" w:hAnsi="Arial" w:cs="Arial"/>
          <w:color w:val="000000"/>
          <w:sz w:val="22"/>
          <w:szCs w:val="22"/>
        </w:rPr>
        <w:t xml:space="preserve"> </w:t>
      </w:r>
      <w:r w:rsidR="00F440AA" w:rsidRPr="003B3D18">
        <w:rPr>
          <w:rFonts w:ascii="Arial" w:hAnsi="Arial" w:cs="Arial"/>
          <w:color w:val="000000"/>
          <w:sz w:val="22"/>
          <w:szCs w:val="22"/>
        </w:rPr>
        <w:t xml:space="preserve">or </w:t>
      </w:r>
      <w:r w:rsidR="004164D9" w:rsidRPr="002129D5">
        <w:rPr>
          <w:rFonts w:ascii="Arial" w:hAnsi="Arial" w:cs="Arial"/>
          <w:sz w:val="22"/>
          <w:szCs w:val="22"/>
        </w:rPr>
        <w:t xml:space="preserve">on the immediately succeeding </w:t>
      </w:r>
      <w:r w:rsidR="004164D9" w:rsidRPr="002672A2">
        <w:rPr>
          <w:rFonts w:ascii="Arial" w:hAnsi="Arial" w:cs="Arial"/>
          <w:sz w:val="22"/>
          <w:szCs w:val="22"/>
        </w:rPr>
        <w:t xml:space="preserve">Trading Day.  References to </w:t>
      </w:r>
      <w:r w:rsidR="002E12AE">
        <w:rPr>
          <w:rFonts w:ascii="Arial" w:hAnsi="Arial" w:cs="Arial"/>
          <w:sz w:val="22"/>
          <w:szCs w:val="22"/>
        </w:rPr>
        <w:t>“</w:t>
      </w:r>
      <w:r w:rsidR="004164D9" w:rsidRPr="00383055">
        <w:rPr>
          <w:rFonts w:ascii="Arial" w:hAnsi="Arial" w:cs="Arial"/>
          <w:b/>
          <w:sz w:val="22"/>
          <w:szCs w:val="22"/>
        </w:rPr>
        <w:t>Post MCE Trades</w:t>
      </w:r>
      <w:r w:rsidR="002E12AE">
        <w:rPr>
          <w:rFonts w:ascii="Arial" w:hAnsi="Arial" w:cs="Arial"/>
          <w:b/>
          <w:sz w:val="22"/>
          <w:szCs w:val="22"/>
        </w:rPr>
        <w:t>”</w:t>
      </w:r>
      <w:r w:rsidR="004164D9">
        <w:rPr>
          <w:rFonts w:ascii="Arial" w:hAnsi="Arial" w:cs="Arial"/>
          <w:sz w:val="22"/>
          <w:szCs w:val="22"/>
        </w:rPr>
        <w:t xml:space="preserve"> mean </w:t>
      </w:r>
      <w:r w:rsidR="00720CA7">
        <w:rPr>
          <w:rFonts w:ascii="Arial" w:hAnsi="Arial" w:cs="Arial"/>
          <w:sz w:val="22"/>
          <w:szCs w:val="22"/>
        </w:rPr>
        <w:t>(i) if a</w:t>
      </w:r>
      <w:r w:rsidR="002E12AE" w:rsidRPr="002E12AE">
        <w:rPr>
          <w:rFonts w:ascii="Arial" w:hAnsi="Arial" w:cs="Arial"/>
          <w:sz w:val="22"/>
          <w:szCs w:val="22"/>
        </w:rPr>
        <w:t xml:space="preserve"> MCE occurred in the pre-opening session of the Stock Exchange, </w:t>
      </w:r>
      <w:r w:rsidR="004164D9">
        <w:rPr>
          <w:rFonts w:ascii="Arial" w:hAnsi="Arial" w:cs="Arial"/>
          <w:sz w:val="22"/>
          <w:szCs w:val="22"/>
        </w:rPr>
        <w:t>all auction trades in the CBBCs concluded in the pre-opening session and all manual trades concluded after the end of the pre-order matching period in such session</w:t>
      </w:r>
      <w:r w:rsidR="002E12AE" w:rsidRPr="002E12AE">
        <w:t xml:space="preserve"> </w:t>
      </w:r>
      <w:r w:rsidR="00720CA7">
        <w:rPr>
          <w:rFonts w:ascii="Arial" w:hAnsi="Arial" w:cs="Arial"/>
          <w:sz w:val="22"/>
          <w:szCs w:val="22"/>
        </w:rPr>
        <w:t>and (ii) if a</w:t>
      </w:r>
      <w:r w:rsidR="002E12AE" w:rsidRPr="002E12AE">
        <w:rPr>
          <w:rFonts w:ascii="Arial" w:hAnsi="Arial" w:cs="Arial"/>
          <w:sz w:val="22"/>
          <w:szCs w:val="22"/>
        </w:rPr>
        <w:t xml:space="preserve"> MCE</w:t>
      </w:r>
      <w:r w:rsidR="002E12AE">
        <w:rPr>
          <w:rFonts w:ascii="Arial" w:hAnsi="Arial" w:cs="Arial"/>
          <w:sz w:val="22"/>
          <w:szCs w:val="22"/>
        </w:rPr>
        <w:t xml:space="preserve"> </w:t>
      </w:r>
      <w:r w:rsidR="002E12AE" w:rsidRPr="002E12AE">
        <w:rPr>
          <w:rFonts w:ascii="Arial" w:hAnsi="Arial" w:cs="Arial"/>
          <w:sz w:val="22"/>
          <w:szCs w:val="22"/>
        </w:rPr>
        <w:t>occurred in the continuous trading session of the Stock Exchange, all trades in the CBBCs</w:t>
      </w:r>
      <w:r w:rsidR="002E12AE">
        <w:rPr>
          <w:rFonts w:ascii="Arial" w:hAnsi="Arial" w:cs="Arial"/>
          <w:sz w:val="22"/>
          <w:szCs w:val="22"/>
        </w:rPr>
        <w:t xml:space="preserve"> </w:t>
      </w:r>
      <w:r w:rsidR="002E12AE" w:rsidRPr="002E12AE">
        <w:rPr>
          <w:rFonts w:ascii="Arial" w:hAnsi="Arial" w:cs="Arial"/>
          <w:sz w:val="22"/>
          <w:szCs w:val="22"/>
        </w:rPr>
        <w:t xml:space="preserve">concluded via auto-matching or manually after the time of the occurrence of the </w:t>
      </w:r>
      <w:r w:rsidR="002E12AE" w:rsidRPr="002E12AE">
        <w:rPr>
          <w:rFonts w:ascii="Arial" w:hAnsi="Arial" w:cs="Arial"/>
          <w:sz w:val="22"/>
          <w:szCs w:val="22"/>
        </w:rPr>
        <w:lastRenderedPageBreak/>
        <w:t>MCE</w:t>
      </w:r>
      <w:r w:rsidR="004164D9">
        <w:rPr>
          <w:rFonts w:ascii="Arial" w:hAnsi="Arial" w:cs="Arial"/>
          <w:sz w:val="22"/>
          <w:szCs w:val="22"/>
        </w:rPr>
        <w:t>.</w:t>
      </w:r>
      <w:r w:rsidR="00DE6F32" w:rsidRPr="00DE6F32">
        <w:t xml:space="preserve"> </w:t>
      </w:r>
      <w:r w:rsidR="00DE6F32" w:rsidRPr="00DE6F32">
        <w:rPr>
          <w:rFonts w:ascii="Arial" w:hAnsi="Arial" w:cs="Arial"/>
          <w:sz w:val="22"/>
          <w:szCs w:val="22"/>
        </w:rPr>
        <w:t>For the</w:t>
      </w:r>
      <w:r w:rsidR="00DE6F32">
        <w:rPr>
          <w:rFonts w:ascii="Arial" w:hAnsi="Arial" w:cs="Arial"/>
          <w:sz w:val="22"/>
          <w:szCs w:val="22"/>
        </w:rPr>
        <w:t xml:space="preserve"> </w:t>
      </w:r>
      <w:r w:rsidR="00720CA7">
        <w:rPr>
          <w:rFonts w:ascii="Arial" w:hAnsi="Arial" w:cs="Arial"/>
          <w:sz w:val="22"/>
          <w:szCs w:val="22"/>
        </w:rPr>
        <w:t>avoidance of doubt, if a</w:t>
      </w:r>
      <w:r w:rsidR="00DE6F32" w:rsidRPr="00DE6F32">
        <w:rPr>
          <w:rFonts w:ascii="Arial" w:hAnsi="Arial" w:cs="Arial"/>
          <w:sz w:val="22"/>
          <w:szCs w:val="22"/>
        </w:rPr>
        <w:t xml:space="preserve"> MCE occurred in the closing auction session of the Stock Exchange,</w:t>
      </w:r>
      <w:r w:rsidR="00DE6F32">
        <w:rPr>
          <w:rFonts w:ascii="Arial" w:hAnsi="Arial" w:cs="Arial"/>
          <w:sz w:val="22"/>
          <w:szCs w:val="22"/>
        </w:rPr>
        <w:t xml:space="preserve"> </w:t>
      </w:r>
      <w:r w:rsidR="00DE6F32" w:rsidRPr="00DE6F32">
        <w:rPr>
          <w:rFonts w:ascii="Arial" w:hAnsi="Arial" w:cs="Arial"/>
          <w:sz w:val="22"/>
          <w:szCs w:val="22"/>
        </w:rPr>
        <w:t>there are no Post MCE Trades.</w:t>
      </w:r>
    </w:p>
    <w:p w:rsidR="00F440AA" w:rsidRDefault="00F440AA" w:rsidP="00F440AA">
      <w:pPr>
        <w:jc w:val="both"/>
        <w:rPr>
          <w:rFonts w:ascii="Arial" w:hAnsi="Arial" w:cs="Arial"/>
          <w:sz w:val="22"/>
          <w:szCs w:val="22"/>
        </w:rPr>
      </w:pPr>
    </w:p>
    <w:p w:rsidR="00C01439" w:rsidRDefault="00C01439" w:rsidP="00C01439">
      <w:pPr>
        <w:jc w:val="both"/>
        <w:rPr>
          <w:rFonts w:ascii="Arial" w:hAnsi="Arial" w:cs="Arial"/>
          <w:sz w:val="22"/>
          <w:szCs w:val="22"/>
        </w:rPr>
      </w:pPr>
      <w:r w:rsidRPr="00200750">
        <w:rPr>
          <w:rFonts w:ascii="Arial" w:hAnsi="Arial" w:cs="Arial"/>
          <w:sz w:val="22"/>
          <w:szCs w:val="22"/>
        </w:rPr>
        <w:t>Relevant participants of the Stock Exchange ("</w:t>
      </w:r>
      <w:r w:rsidRPr="00383055">
        <w:rPr>
          <w:rFonts w:ascii="Arial" w:hAnsi="Arial" w:cs="Arial"/>
          <w:b/>
          <w:sz w:val="22"/>
          <w:szCs w:val="22"/>
        </w:rPr>
        <w:t>EPs</w:t>
      </w:r>
      <w:r w:rsidRPr="00200750">
        <w:rPr>
          <w:rFonts w:ascii="Arial" w:hAnsi="Arial" w:cs="Arial"/>
          <w:sz w:val="22"/>
          <w:szCs w:val="22"/>
        </w:rPr>
        <w:t xml:space="preserve">") involved in any Post MCE Trades may refer to a trade file disseminated by the Stock Exchange via the Stock Exchange's </w:t>
      </w:r>
      <w:r w:rsidRPr="00E9764E">
        <w:rPr>
          <w:rFonts w:ascii="Arial" w:hAnsi="Arial" w:cs="Arial"/>
          <w:sz w:val="22"/>
          <w:szCs w:val="22"/>
        </w:rPr>
        <w:t>Electronic Communication Platform</w:t>
      </w:r>
      <w:r>
        <w:rPr>
          <w:rFonts w:ascii="Arial" w:hAnsi="Arial" w:cs="Arial"/>
          <w:sz w:val="22"/>
          <w:szCs w:val="22"/>
        </w:rPr>
        <w:t xml:space="preserve"> </w:t>
      </w:r>
      <w:r w:rsidRPr="00200750">
        <w:rPr>
          <w:rFonts w:ascii="Arial" w:hAnsi="Arial" w:cs="Arial"/>
          <w:sz w:val="22"/>
          <w:szCs w:val="22"/>
        </w:rPr>
        <w:t xml:space="preserve">for additional details on the MCE.  Such EPs must check their trades against the MCE Time and advise their clients of any cancelled trades in the </w:t>
      </w:r>
      <w:r>
        <w:rPr>
          <w:rFonts w:ascii="Arial" w:hAnsi="Arial" w:cs="Arial"/>
          <w:sz w:val="22"/>
          <w:szCs w:val="22"/>
        </w:rPr>
        <w:t>CBBCs</w:t>
      </w:r>
      <w:r w:rsidRPr="00200750">
        <w:rPr>
          <w:rFonts w:ascii="Arial" w:hAnsi="Arial" w:cs="Arial"/>
          <w:sz w:val="22"/>
          <w:szCs w:val="22"/>
        </w:rPr>
        <w:t xml:space="preserve">.  If there are any discrepancies, these must be reconciled with the Stock Exchange as soon as possible.  </w:t>
      </w:r>
    </w:p>
    <w:p w:rsidR="0027471B" w:rsidRPr="00200750" w:rsidRDefault="0027471B" w:rsidP="00C01439">
      <w:pPr>
        <w:jc w:val="both"/>
        <w:rPr>
          <w:rFonts w:ascii="Arial" w:hAnsi="Arial" w:cs="Arial"/>
          <w:sz w:val="22"/>
          <w:szCs w:val="22"/>
        </w:rPr>
      </w:pPr>
    </w:p>
    <w:tbl>
      <w:tblPr>
        <w:tblW w:w="5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960"/>
        <w:gridCol w:w="960"/>
        <w:gridCol w:w="1420"/>
        <w:gridCol w:w="1360"/>
      </w:tblGrid>
      <w:tr w:rsidR="004A06DE" w:rsidRPr="007D79F1" w:rsidTr="00A7356A">
        <w:trPr>
          <w:trHeight w:val="585"/>
        </w:trPr>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bookmarkStart w:id="0" w:name="RANGE!Y3:AC3"/>
            <w:r w:rsidRPr="007D79F1">
              <w:rPr>
                <w:rFonts w:eastAsia="Times New Roman"/>
                <w:b/>
                <w:bCs/>
                <w:sz w:val="22"/>
                <w:szCs w:val="22"/>
                <w:lang w:val="en-US" w:eastAsia="zh-CN"/>
              </w:rPr>
              <w:t xml:space="preserve">Stock Code </w:t>
            </w:r>
            <w:bookmarkEnd w:id="0"/>
          </w:p>
        </w:tc>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Type </w:t>
            </w:r>
          </w:p>
        </w:tc>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MCE Time </w:t>
            </w:r>
          </w:p>
        </w:tc>
        <w:tc>
          <w:tcPr>
            <w:tcW w:w="142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Issue Size </w:t>
            </w:r>
            <w:r w:rsidRPr="007D79F1">
              <w:rPr>
                <w:rFonts w:eastAsia="Times New Roman"/>
                <w:b/>
                <w:bCs/>
                <w:sz w:val="22"/>
                <w:szCs w:val="22"/>
                <w:lang w:val="en-US" w:eastAsia="zh-CN"/>
              </w:rPr>
              <w:br/>
              <w:t>(CBBCs)</w:t>
            </w:r>
          </w:p>
        </w:tc>
        <w:tc>
          <w:tcPr>
            <w:tcW w:w="13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Underlying </w:t>
            </w:r>
          </w:p>
        </w:tc>
      </w:tr>
      <w:tr>
        <w:tc>
          <w:p>
            <w:r>
              <w:t>61290</w:t>
            </w:r>
          </w:p>
        </w:tc>
        <w:tc>
          <w:p>
            <w:r>
              <w:t>BEAR</w:t>
            </w:r>
          </w:p>
        </w:tc>
        <w:tc>
          <w:p>
            <w:r>
              <w:t>11:31:31</w:t>
            </w:r>
          </w:p>
        </w:tc>
        <w:tc>
          <w:p>
            <w:r>
              <w:t>60,000,000</w:t>
            </w:r>
          </w:p>
        </w:tc>
        <w:tc>
          <w:p>
            <w:r>
              <w:t>Pop Mart International Group Limited</w:t>
            </w:r>
          </w:p>
        </w:tc>
      </w:tr>
      <w:tr>
        <w:tc>
          <w:p>
            <w:r>
              <w:t>55403</w:t>
            </w:r>
          </w:p>
        </w:tc>
        <w:tc>
          <w:p>
            <w:r>
              <w:t>BEAR</w:t>
            </w:r>
          </w:p>
        </w:tc>
        <w:tc>
          <w:p>
            <w:r>
              <w:t>10:24:04</w:t>
            </w:r>
          </w:p>
        </w:tc>
        <w:tc>
          <w:p>
            <w:r>
              <w:t>200,000,000</w:t>
            </w:r>
          </w:p>
        </w:tc>
        <w:tc>
          <w:p>
            <w:r>
              <w:t>Hang Seng Index</w:t>
            </w:r>
          </w:p>
        </w:tc>
      </w:tr>
      <w:tr>
        <w:tc>
          <w:p>
            <w:r>
              <w:t>66757</w:t>
            </w:r>
          </w:p>
        </w:tc>
        <w:tc>
          <w:p>
            <w:r>
              <w:t>BULL</w:t>
            </w:r>
          </w:p>
        </w:tc>
        <w:tc>
          <w:p>
            <w:r>
              <w:t>9:45:18</w:t>
            </w:r>
          </w:p>
        </w:tc>
        <w:tc>
          <w:p>
            <w:r>
              <w:t>50,000,000</w:t>
            </w:r>
          </w:p>
        </w:tc>
        <w:tc>
          <w:p>
            <w:r>
              <w:t>Kuaishou Technology</w:t>
            </w:r>
          </w:p>
        </w:tc>
      </w:tr>
      <w:tr>
        <w:tc>
          <w:p>
            <w:r>
              <w:t>57742</w:t>
            </w:r>
          </w:p>
        </w:tc>
        <w:tc>
          <w:p>
            <w:r>
              <w:t>BEAR</w:t>
            </w:r>
          </w:p>
        </w:tc>
        <w:tc>
          <w:p>
            <w:r>
              <w:t>9:30:02</w:t>
            </w:r>
          </w:p>
        </w:tc>
        <w:tc>
          <w:p>
            <w:r>
              <w:t>200,000,000</w:t>
            </w:r>
          </w:p>
        </w:tc>
        <w:tc>
          <w:p>
            <w:r>
              <w:t>Hang Seng Index</w:t>
            </w:r>
          </w:p>
        </w:tc>
      </w:tr>
      <w:tr>
        <w:tc>
          <w:p>
            <w:r>
              <w:t>58133</w:t>
            </w:r>
          </w:p>
        </w:tc>
        <w:tc>
          <w:p>
            <w:r>
              <w:t>BEAR</w:t>
            </w:r>
          </w:p>
        </w:tc>
        <w:tc>
          <w:p>
            <w:r>
              <w:t>9:20:54</w:t>
            </w:r>
          </w:p>
        </w:tc>
        <w:tc>
          <w:p>
            <w:r>
              <w:t>200,000,000</w:t>
            </w:r>
          </w:p>
        </w:tc>
        <w:tc>
          <w:p>
            <w:r>
              <w:t>Hang Seng Index</w:t>
            </w:r>
          </w:p>
        </w:tc>
      </w:tr>
      <w:tr>
        <w:tc>
          <w:p>
            <w:r>
              <w:t>56807</w:t>
            </w:r>
          </w:p>
        </w:tc>
        <w:tc>
          <w:p>
            <w:r>
              <w:t>BEAR</w:t>
            </w:r>
          </w:p>
        </w:tc>
        <w:tc>
          <w:p>
            <w:r>
              <w:t>9:20:54</w:t>
            </w:r>
          </w:p>
        </w:tc>
        <w:tc>
          <w:p>
            <w:r>
              <w:t>200,000,000</w:t>
            </w:r>
          </w:p>
        </w:tc>
        <w:tc>
          <w:p>
            <w:r>
              <w:t>Hang Seng Index</w:t>
            </w:r>
          </w:p>
        </w:tc>
      </w:tr>
      <w:tr>
        <w:tc>
          <w:p>
            <w:r>
              <w:t>58138</w:t>
            </w:r>
          </w:p>
        </w:tc>
        <w:tc>
          <w:p>
            <w:r>
              <w:t>BEAR</w:t>
            </w:r>
          </w:p>
        </w:tc>
        <w:tc>
          <w:p>
            <w:r>
              <w:t>9:20:54</w:t>
            </w:r>
          </w:p>
        </w:tc>
        <w:tc>
          <w:p>
            <w:r>
              <w:t>200,000,000</w:t>
            </w:r>
          </w:p>
        </w:tc>
        <w:tc>
          <w:p>
            <w:r>
              <w:t>Hang Seng Index</w:t>
            </w:r>
          </w:p>
        </w:tc>
      </w:tr>
      <w:tr>
        <w:tc>
          <w:p>
            <w:r>
              <w:t>58118</w:t>
            </w:r>
          </w:p>
        </w:tc>
        <w:tc>
          <w:p>
            <w:r>
              <w:t>BULL</w:t>
            </w:r>
          </w:p>
        </w:tc>
        <w:tc>
          <w:p>
            <w:r>
              <w:t>9:20:29</w:t>
            </w:r>
          </w:p>
        </w:tc>
        <w:tc>
          <w:p>
            <w:r>
              <w:t>100,000,000</w:t>
            </w:r>
          </w:p>
        </w:tc>
        <w:tc>
          <w:p>
            <w:r>
              <w:t>Tencent Holdings Limited</w:t>
            </w:r>
          </w:p>
        </w:tc>
      </w:tr>
      <w:tr>
        <w:tc>
          <w:p>
            <w:r>
              <w:t>58119</w:t>
            </w:r>
          </w:p>
        </w:tc>
        <w:tc>
          <w:p>
            <w:r>
              <w:t>BULL</w:t>
            </w:r>
          </w:p>
        </w:tc>
        <w:tc>
          <w:p>
            <w:r>
              <w:t>9:20:29</w:t>
            </w:r>
          </w:p>
        </w:tc>
        <w:tc>
          <w:p>
            <w:r>
              <w:t>100,000,000</w:t>
            </w:r>
          </w:p>
        </w:tc>
        <w:tc>
          <w:p>
            <w:r>
              <w:t>Tencent Holdings Limited</w:t>
            </w:r>
          </w:p>
        </w:tc>
      </w:tr>
    </w:tbl>
    <w:p w:rsidR="007B3770" w:rsidRPr="00BA3033" w:rsidRDefault="007B3770" w:rsidP="007B3770">
      <w:pPr>
        <w:jc w:val="both"/>
        <w:rPr>
          <w:rFonts w:ascii="Arial" w:hAnsi="Arial" w:cs="Arial"/>
          <w:sz w:val="22"/>
          <w:szCs w:val="22"/>
        </w:rPr>
      </w:pPr>
      <w:bookmarkStart w:id="1" w:name="_GoBack"/>
      <w:bookmarkEnd w:id="1"/>
    </w:p>
    <w:p w:rsidR="007B3770" w:rsidRPr="002672A2" w:rsidRDefault="007B3770" w:rsidP="007B3770">
      <w:pPr>
        <w:jc w:val="both"/>
        <w:rPr>
          <w:rFonts w:ascii="Arial" w:hAnsi="Arial" w:cs="Arial"/>
          <w:sz w:val="22"/>
          <w:szCs w:val="22"/>
        </w:rPr>
      </w:pPr>
    </w:p>
    <w:p w:rsidR="00305C81" w:rsidRPr="002129D5" w:rsidRDefault="00305C81" w:rsidP="00F440AA">
      <w:pPr>
        <w:jc w:val="both"/>
        <w:rPr>
          <w:rFonts w:ascii="Arial" w:hAnsi="Arial" w:cs="Arial"/>
          <w:sz w:val="22"/>
          <w:szCs w:val="22"/>
        </w:rPr>
      </w:pPr>
      <w:r w:rsidRPr="002672A2">
        <w:rPr>
          <w:rFonts w:ascii="Arial" w:hAnsi="Arial" w:cs="Arial"/>
          <w:sz w:val="22"/>
          <w:szCs w:val="22"/>
        </w:rPr>
        <w:t xml:space="preserve">Hong Kong, </w:t>
      </w:r>
      <w:r w:rsidR="00BA3033" w:rsidRPr="00BA3033">
        <w:rPr>
          <w:rFonts w:ascii="Arial" w:hAnsi="Arial" w:cs="Arial"/>
          <w:sz w:val="22"/>
          <w:szCs w:val="22"/>
        </w:rPr>
        <w:t>09 Feb 2026</w:t>
      </w:r>
    </w:p>
    <w:sectPr w:rsidR="00305C81" w:rsidRPr="002129D5" w:rsidSect="00D71544">
      <w:footerReference w:type="even" r:id="rId11"/>
      <w:footerReference w:type="default" r:id="rId12"/>
      <w:footerReference w:type="first" r:id="rId13"/>
      <w:pgSz w:w="11909" w:h="16834"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E9" w:rsidRDefault="004F08E9">
      <w:r>
        <w:separator/>
      </w:r>
    </w:p>
  </w:endnote>
  <w:endnote w:type="continuationSeparator" w:id="0">
    <w:p w:rsidR="004F08E9" w:rsidRDefault="004F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12" w:rsidRDefault="00445003">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439" w:rsidRPr="003204F4" w:rsidRDefault="007D79F1" w:rsidP="00C70F0E">
    <w:pPr>
      <w:pStyle w:val="Footer"/>
      <w:jc w:val="center"/>
      <w:rPr>
        <w:sz w:val="16"/>
        <w:szCs w:val="16"/>
      </w:rPr>
    </w:pPr>
    <w:r>
      <w:rPr>
        <w:noProof/>
        <w:sz w:val="16"/>
        <w:szCs w:val="16"/>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10225405</wp:posOffset>
              </wp:positionV>
              <wp:extent cx="7562215" cy="273050"/>
              <wp:effectExtent l="0" t="0" r="0" b="12700"/>
              <wp:wrapNone/>
              <wp:docPr id="2" name="MSIPCMfb624ddbadf222f369360d32"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D79F1" w:rsidRPr="007D79F1" w:rsidRDefault="007D79F1" w:rsidP="007D79F1">
                          <w:pPr>
                            <w:jc w:val="center"/>
                            <w:rPr>
                              <w:rFonts w:ascii="Calibri" w:hAnsi="Calibri" w:cs="Calibri"/>
                              <w:color w:val="000000"/>
                              <w:sz w:val="20"/>
                            </w:rPr>
                          </w:pPr>
                          <w:r w:rsidRPr="007D79F1">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624ddbadf222f369360d32" o:spid="_x0000_s1026" type="#_x0000_t202" alt="{&quot;HashCode&quot;:-805422396,&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02VFwMAADYGAAAOAAAAZHJzL2Uyb0RvYy54bWysVEtv2zAMvg/YfxB02GmpH3HcOKtbtCmy FUjbAOnQsyLJtTBbciWlcVf0v4+S7fSxHYZhF4kiKYr8+IlHJ21doQeujVAyx9FBiBGXVDEh73L8 /WYxmmJkLJGMVEryHD9yg0+OP3442jUzHqtSVYxrBEGkme2aHJfWNrMgMLTkNTEHquESjIXSNbFw 1HcB02QH0esqiMMwDXZKs0Yryo0B7XlnxMc+flFwaq+LwnCLqhxDbtav2q8btwbHR2R2p0lTCtqn Qf4hi5oICY/uQ50TS9BWi99C1YJqZVRhD6iqA1UUgnJfA1QThe+qWZek4b4WAMc0e5jM/wtLrx5W GgmW4xgjSWpo0eX6YjW/LDZpnDC2IayI47gYp9k4DdkYvBg3FBB8+nS/VfbLN2LKuWK8O81G03CS xPE4Sz/3di7uSttbpwkwpDfcCmbLXj/JJnv9qiKU11wOdzqXhVKW607uA1xIxts+QLettKiJfnzj tQYKADd7v6i/e6OaXhPuH17yYngTlM+OGrvGzAChdQMY2fZMtUDxQW9A6TreFrp2O/QSgR1I9rgn Fm8toqA8nKRxHE0womCLD8fhxDMveLndaGO/clUjJ+RYQ9aeT+RhaSxkAq6Di3tMqoWoKk/eSqJd jtMxhHxjgRuVdBpIAmL0UkfKpyyKk/AszkaLdHo4ShbJZJQdhtNRGGVnWRomWXK+eHbxomRWCsa4 XArJhw8SJX9HwP6rdtT2X+RNqkZVgrk6XG6uunml0QOBn7oBDvxwQEMRr7yCt+l4M1Q37L7KwPWs 642TbLtp+0ZuFHuEPmoF+EKXTEMXAh5dEmNXRMOvByVMMnsNS1EpAFX1Ekal0j//pHf+gAVYMdrB FMmxud8SzTGqLiR80yxKEjd2/AEE/Vq7GbRyW88VlB35rLzofG01iIVW9S0MulP3GpiIpPAm4DSI cwsnMMCgpPz01MswYBpil3LdUBd6APmmvSW66XlmAb4rNcwZMntHt87X3ZTqdGtVITwXHbAdmgC9 O8Bw8k3oB6mbfq/P3utl3B//AgAA//8DAFBLAwQUAAYACAAAACEAhzzGuN8AAAALAQAADwAAAGRy cy9kb3ducmV2LnhtbEyPzU7DMBCE75V4B2uRemvtEKhIiFMhKi5ICFEQZyfe/DTxOordNnl7nBMc d2Y0+022n0zPLji61pKEaCuAIZVWt1RL+P563TwCc16RVr0llDCjg31+s8pUqu2VPvFy9DULJeRS JaHxfkg5d2WDRrmtHZCCV9nRKB/OseZ6VNdQbnp+J8SOG9VS+NCoAV8aLLvj2Ui4/0iKip86c3qf 3+a57aqfQ1FJub6dnp+AeZz8XxgW/IAOeWAq7Jm0Y72EMMQHdReJGNjiR4lIgBWL9hDHwPOM/9+Q /wIAAP//AwBQSwECLQAUAAYACAAAACEAtoM4kv4AAADhAQAAEwAAAAAAAAAAAAAAAAAAAAAAW0Nv bnRlbnRfVHlwZXNdLnhtbFBLAQItABQABgAIAAAAIQA4/SH/1gAAAJQBAAALAAAAAAAAAAAAAAAA AC8BAABfcmVscy8ucmVsc1BLAQItABQABgAIAAAAIQChf02VFwMAADYGAAAOAAAAAAAAAAAAAAAA AC4CAABkcnMvZTJvRG9jLnhtbFBLAQItABQABgAIAAAAIQCHPMa43wAAAAsBAAAPAAAAAAAAAAAA AAAAAHEFAABkcnMvZG93bnJldi54bWxQSwUGAAAAAAQABADzAAAAfQYAAAAA " o:allowincell="f" filled="f" stroked="f" strokeweight=".5pt">
              <v:fill o:detectmouseclick="t"/>
              <v:textbox inset=",0,,0">
                <w:txbxContent>
                  <w:p w:rsidR="007D79F1" w:rsidRPr="007D79F1" w:rsidRDefault="007D79F1" w:rsidP="007D79F1">
                    <w:pPr>
                      <w:jc w:val="center"/>
                      <w:rPr>
                        <w:rFonts w:ascii="Calibri" w:hAnsi="Calibri" w:cs="Calibri"/>
                        <w:color w:val="000000"/>
                        <w:sz w:val="20"/>
                      </w:rPr>
                    </w:pPr>
                    <w:r w:rsidRPr="007D79F1">
                      <w:rPr>
                        <w:rFonts w:ascii="Calibri" w:hAnsi="Calibri" w:cs="Calibri"/>
                        <w:color w:val="000000"/>
                        <w:sz w:val="20"/>
                      </w:rPr>
                      <w:t>PUBLIC</w:t>
                    </w:r>
                  </w:p>
                </w:txbxContent>
              </v:textbox>
              <w10:wrap anchorx="page" anchory="page"/>
            </v:shape>
          </w:pict>
        </mc:Fallback>
      </mc:AlternateContent>
    </w:r>
    <w:r w:rsidR="00445003">
      <w:rPr>
        <w:rStyle w:val="PageNumber"/>
        <w:sz w:val="16"/>
        <w:szCs w:val="16"/>
      </w:rPr>
      <w:t xml:space="preserve"> - </w:t>
    </w:r>
    <w:r w:rsidR="00C01439" w:rsidRPr="003204F4">
      <w:rPr>
        <w:rStyle w:val="PageNumber"/>
        <w:sz w:val="16"/>
        <w:szCs w:val="16"/>
      </w:rPr>
      <w:fldChar w:fldCharType="begin"/>
    </w:r>
    <w:r w:rsidR="00C01439" w:rsidRPr="003204F4">
      <w:rPr>
        <w:rStyle w:val="PageNumber"/>
        <w:sz w:val="16"/>
        <w:szCs w:val="16"/>
      </w:rPr>
      <w:instrText xml:space="preserve"> PAGE </w:instrText>
    </w:r>
    <w:r w:rsidR="00C01439" w:rsidRPr="003204F4">
      <w:rPr>
        <w:rStyle w:val="PageNumber"/>
        <w:sz w:val="16"/>
        <w:szCs w:val="16"/>
      </w:rPr>
      <w:fldChar w:fldCharType="separate"/>
    </w:r>
    <w:r w:rsidR="004A06DE">
      <w:rPr>
        <w:rStyle w:val="PageNumber"/>
        <w:noProof/>
        <w:sz w:val="16"/>
        <w:szCs w:val="16"/>
      </w:rPr>
      <w:t>1</w:t>
    </w:r>
    <w:r w:rsidR="00C01439" w:rsidRPr="003204F4">
      <w:rPr>
        <w:rStyle w:val="PageNumber"/>
        <w:sz w:val="16"/>
        <w:szCs w:val="16"/>
      </w:rPr>
      <w:fldChar w:fldCharType="end"/>
    </w:r>
  </w:p>
  <w:p w:rsidR="00C01439" w:rsidRPr="00BA6863" w:rsidRDefault="00C0143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12" w:rsidRDefault="00445003">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E9" w:rsidRDefault="004F08E9">
      <w:r>
        <w:separator/>
      </w:r>
    </w:p>
  </w:footnote>
  <w:footnote w:type="continuationSeparator" w:id="0">
    <w:p w:rsidR="004F08E9" w:rsidRDefault="004F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E13B0"/>
    <w:multiLevelType w:val="multilevel"/>
    <w:tmpl w:val="BA44759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097"/>
        </w:tabs>
        <w:ind w:left="737" w:firstLine="0"/>
      </w:pPr>
    </w:lvl>
    <w:lvl w:ilvl="3">
      <w:start w:val="1"/>
      <w:numFmt w:val="lowerRoman"/>
      <w:pStyle w:val="Heading4"/>
      <w:lvlText w:val="(%4)"/>
      <w:lvlJc w:val="left"/>
      <w:pPr>
        <w:tabs>
          <w:tab w:val="num" w:pos="2194"/>
        </w:tabs>
        <w:ind w:left="737" w:firstLine="737"/>
      </w:pPr>
    </w:lvl>
    <w:lvl w:ilvl="4">
      <w:start w:val="1"/>
      <w:numFmt w:val="upperLetter"/>
      <w:pStyle w:val="Heading5"/>
      <w:lvlText w:val="(%5)"/>
      <w:lvlJc w:val="left"/>
      <w:pPr>
        <w:tabs>
          <w:tab w:val="num" w:pos="2571"/>
        </w:tabs>
        <w:ind w:left="737" w:firstLine="1474"/>
      </w:pPr>
    </w:lvl>
    <w:lvl w:ilvl="5">
      <w:start w:val="1"/>
      <w:numFmt w:val="none"/>
      <w:pStyle w:val="Heading6"/>
      <w:suff w:val="nothing"/>
      <w:lvlText w:val=""/>
      <w:lvlJc w:val="left"/>
      <w:pPr>
        <w:ind w:left="0" w:firstLine="0"/>
      </w:pPr>
    </w:lvl>
    <w:lvl w:ilvl="6">
      <w:start w:val="1"/>
      <w:numFmt w:val="decimal"/>
      <w:pStyle w:val="Heading7"/>
      <w:lvlText w:val="%7"/>
      <w:lvlJc w:val="left"/>
      <w:pPr>
        <w:tabs>
          <w:tab w:val="num" w:pos="737"/>
        </w:tabs>
        <w:ind w:left="737" w:hanging="737"/>
      </w:pPr>
    </w:lvl>
    <w:lvl w:ilvl="7">
      <w:start w:val="1"/>
      <w:numFmt w:val="lowerLetter"/>
      <w:pStyle w:val="Heading8"/>
      <w:lvlText w:val="(%8)"/>
      <w:lvlJc w:val="left"/>
      <w:pPr>
        <w:tabs>
          <w:tab w:val="num" w:pos="1097"/>
        </w:tabs>
        <w:ind w:left="737" w:firstLine="0"/>
      </w:pPr>
    </w:lvl>
    <w:lvl w:ilvl="8">
      <w:start w:val="1"/>
      <w:numFmt w:val="lowerRoman"/>
      <w:pStyle w:val="Heading9"/>
      <w:lvlText w:val="(%9)"/>
      <w:lvlJc w:val="left"/>
      <w:pPr>
        <w:tabs>
          <w:tab w:val="num" w:pos="2194"/>
        </w:tabs>
        <w:ind w:left="737" w:firstLine="737"/>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 w:val="16665"/>
    <w:docVar w:name="DocID" w:val="220522"/>
    <w:docVar w:name="DocName" w:val="Notice of Occurrence of Mandatory Call Event"/>
    <w:docVar w:name="DocRef" w:val="HK:5411405.1"/>
    <w:docVar w:name="M_BRAND" w:val="YES"/>
    <w:docVar w:name="MatterNum" w:val="02438"/>
  </w:docVars>
  <w:rsids>
    <w:rsidRoot w:val="0048665E"/>
    <w:rsid w:val="000014AF"/>
    <w:rsid w:val="00001686"/>
    <w:rsid w:val="00010F15"/>
    <w:rsid w:val="0001515B"/>
    <w:rsid w:val="00016501"/>
    <w:rsid w:val="00021A31"/>
    <w:rsid w:val="00047EA3"/>
    <w:rsid w:val="00071C2A"/>
    <w:rsid w:val="0008434E"/>
    <w:rsid w:val="0008515F"/>
    <w:rsid w:val="000A132B"/>
    <w:rsid w:val="000A1C94"/>
    <w:rsid w:val="000A30F5"/>
    <w:rsid w:val="000B5B03"/>
    <w:rsid w:val="000D4B91"/>
    <w:rsid w:val="000D7C87"/>
    <w:rsid w:val="000F16F0"/>
    <w:rsid w:val="000F1D7B"/>
    <w:rsid w:val="001036A6"/>
    <w:rsid w:val="00107446"/>
    <w:rsid w:val="00137153"/>
    <w:rsid w:val="00171C2D"/>
    <w:rsid w:val="001776AC"/>
    <w:rsid w:val="00180918"/>
    <w:rsid w:val="00190078"/>
    <w:rsid w:val="001921D6"/>
    <w:rsid w:val="00196415"/>
    <w:rsid w:val="001C00DC"/>
    <w:rsid w:val="001C6ECF"/>
    <w:rsid w:val="001E5B45"/>
    <w:rsid w:val="001F3F64"/>
    <w:rsid w:val="001F72E8"/>
    <w:rsid w:val="00200750"/>
    <w:rsid w:val="00203612"/>
    <w:rsid w:val="0021129C"/>
    <w:rsid w:val="002129D5"/>
    <w:rsid w:val="00217589"/>
    <w:rsid w:val="002672A2"/>
    <w:rsid w:val="0027471B"/>
    <w:rsid w:val="0029123A"/>
    <w:rsid w:val="002A6598"/>
    <w:rsid w:val="002B43CE"/>
    <w:rsid w:val="002B56FE"/>
    <w:rsid w:val="002C08AA"/>
    <w:rsid w:val="002D2132"/>
    <w:rsid w:val="002E12AE"/>
    <w:rsid w:val="002F38C3"/>
    <w:rsid w:val="003038B3"/>
    <w:rsid w:val="00305C81"/>
    <w:rsid w:val="003204F4"/>
    <w:rsid w:val="00340D55"/>
    <w:rsid w:val="0034501E"/>
    <w:rsid w:val="00352D21"/>
    <w:rsid w:val="00383055"/>
    <w:rsid w:val="00392164"/>
    <w:rsid w:val="003A5177"/>
    <w:rsid w:val="003B3D18"/>
    <w:rsid w:val="003B6E74"/>
    <w:rsid w:val="003B7DB8"/>
    <w:rsid w:val="003C3AAF"/>
    <w:rsid w:val="003C62FF"/>
    <w:rsid w:val="003D7A7E"/>
    <w:rsid w:val="003E74FE"/>
    <w:rsid w:val="003F0375"/>
    <w:rsid w:val="003F2510"/>
    <w:rsid w:val="003F6811"/>
    <w:rsid w:val="00411ED6"/>
    <w:rsid w:val="004160DA"/>
    <w:rsid w:val="004164D9"/>
    <w:rsid w:val="00420262"/>
    <w:rsid w:val="00421810"/>
    <w:rsid w:val="00422349"/>
    <w:rsid w:val="00425071"/>
    <w:rsid w:val="00427C6D"/>
    <w:rsid w:val="00432B5D"/>
    <w:rsid w:val="004359E8"/>
    <w:rsid w:val="00445003"/>
    <w:rsid w:val="00446960"/>
    <w:rsid w:val="004543B4"/>
    <w:rsid w:val="004573D3"/>
    <w:rsid w:val="00461299"/>
    <w:rsid w:val="00461452"/>
    <w:rsid w:val="004620C3"/>
    <w:rsid w:val="00466D43"/>
    <w:rsid w:val="0048665E"/>
    <w:rsid w:val="00494778"/>
    <w:rsid w:val="004A06DE"/>
    <w:rsid w:val="004B38CE"/>
    <w:rsid w:val="004B5B94"/>
    <w:rsid w:val="004D0967"/>
    <w:rsid w:val="004D29B6"/>
    <w:rsid w:val="004D6870"/>
    <w:rsid w:val="004E5DD2"/>
    <w:rsid w:val="004E7428"/>
    <w:rsid w:val="004F08E9"/>
    <w:rsid w:val="00506AF8"/>
    <w:rsid w:val="00523452"/>
    <w:rsid w:val="00527433"/>
    <w:rsid w:val="00560D68"/>
    <w:rsid w:val="00563A99"/>
    <w:rsid w:val="00571500"/>
    <w:rsid w:val="00574251"/>
    <w:rsid w:val="00580681"/>
    <w:rsid w:val="005828C4"/>
    <w:rsid w:val="0059675C"/>
    <w:rsid w:val="00596C8B"/>
    <w:rsid w:val="005A155C"/>
    <w:rsid w:val="005B23BD"/>
    <w:rsid w:val="005B5E9A"/>
    <w:rsid w:val="005C0DC1"/>
    <w:rsid w:val="005E1CA1"/>
    <w:rsid w:val="005F26F8"/>
    <w:rsid w:val="005F758E"/>
    <w:rsid w:val="00601CB1"/>
    <w:rsid w:val="00617219"/>
    <w:rsid w:val="00623533"/>
    <w:rsid w:val="00624083"/>
    <w:rsid w:val="00627E81"/>
    <w:rsid w:val="00633360"/>
    <w:rsid w:val="006369BE"/>
    <w:rsid w:val="00666B81"/>
    <w:rsid w:val="0067447E"/>
    <w:rsid w:val="006A46A4"/>
    <w:rsid w:val="006C6D3D"/>
    <w:rsid w:val="006C7A57"/>
    <w:rsid w:val="006D719A"/>
    <w:rsid w:val="006E525D"/>
    <w:rsid w:val="006E777A"/>
    <w:rsid w:val="006F3E79"/>
    <w:rsid w:val="00702E6E"/>
    <w:rsid w:val="0070332B"/>
    <w:rsid w:val="00704629"/>
    <w:rsid w:val="00707707"/>
    <w:rsid w:val="00710CB8"/>
    <w:rsid w:val="0071159B"/>
    <w:rsid w:val="00720CA7"/>
    <w:rsid w:val="00723750"/>
    <w:rsid w:val="0072395A"/>
    <w:rsid w:val="00723AB7"/>
    <w:rsid w:val="00733B0C"/>
    <w:rsid w:val="00740F6C"/>
    <w:rsid w:val="0076082A"/>
    <w:rsid w:val="007641EE"/>
    <w:rsid w:val="00776C96"/>
    <w:rsid w:val="0078787C"/>
    <w:rsid w:val="007B3770"/>
    <w:rsid w:val="007B7359"/>
    <w:rsid w:val="007B77EE"/>
    <w:rsid w:val="007D1E2F"/>
    <w:rsid w:val="007D79F1"/>
    <w:rsid w:val="007F12CD"/>
    <w:rsid w:val="007F3213"/>
    <w:rsid w:val="00802D15"/>
    <w:rsid w:val="00804457"/>
    <w:rsid w:val="00807DAB"/>
    <w:rsid w:val="00822275"/>
    <w:rsid w:val="00831D62"/>
    <w:rsid w:val="008379C8"/>
    <w:rsid w:val="00841B9C"/>
    <w:rsid w:val="00851ECA"/>
    <w:rsid w:val="00856958"/>
    <w:rsid w:val="0087259B"/>
    <w:rsid w:val="008728C6"/>
    <w:rsid w:val="0087692F"/>
    <w:rsid w:val="00883F5E"/>
    <w:rsid w:val="00885728"/>
    <w:rsid w:val="00895131"/>
    <w:rsid w:val="008959E0"/>
    <w:rsid w:val="008A1E06"/>
    <w:rsid w:val="008B4C70"/>
    <w:rsid w:val="008D0CEB"/>
    <w:rsid w:val="008D37EE"/>
    <w:rsid w:val="008E4C55"/>
    <w:rsid w:val="009031A8"/>
    <w:rsid w:val="00912D9F"/>
    <w:rsid w:val="009359DD"/>
    <w:rsid w:val="00947209"/>
    <w:rsid w:val="00952080"/>
    <w:rsid w:val="009528BA"/>
    <w:rsid w:val="00963923"/>
    <w:rsid w:val="0097201D"/>
    <w:rsid w:val="00975CFE"/>
    <w:rsid w:val="009771BD"/>
    <w:rsid w:val="0098336B"/>
    <w:rsid w:val="009852C3"/>
    <w:rsid w:val="009A03D4"/>
    <w:rsid w:val="009A7D70"/>
    <w:rsid w:val="009B5368"/>
    <w:rsid w:val="009B5CB4"/>
    <w:rsid w:val="009C466E"/>
    <w:rsid w:val="009C49F1"/>
    <w:rsid w:val="009D069D"/>
    <w:rsid w:val="009D738A"/>
    <w:rsid w:val="009D77DB"/>
    <w:rsid w:val="009F7070"/>
    <w:rsid w:val="00A03168"/>
    <w:rsid w:val="00A03807"/>
    <w:rsid w:val="00A070F6"/>
    <w:rsid w:val="00A071F1"/>
    <w:rsid w:val="00A25DF1"/>
    <w:rsid w:val="00A2784F"/>
    <w:rsid w:val="00A3761F"/>
    <w:rsid w:val="00A37CA7"/>
    <w:rsid w:val="00A4454C"/>
    <w:rsid w:val="00A546BA"/>
    <w:rsid w:val="00A82BC1"/>
    <w:rsid w:val="00A9106A"/>
    <w:rsid w:val="00AB0088"/>
    <w:rsid w:val="00AB3267"/>
    <w:rsid w:val="00AB7E14"/>
    <w:rsid w:val="00AC63CE"/>
    <w:rsid w:val="00AD376C"/>
    <w:rsid w:val="00AE7631"/>
    <w:rsid w:val="00AF1061"/>
    <w:rsid w:val="00B124EE"/>
    <w:rsid w:val="00B209F7"/>
    <w:rsid w:val="00B225D8"/>
    <w:rsid w:val="00B5467A"/>
    <w:rsid w:val="00B56077"/>
    <w:rsid w:val="00B6585D"/>
    <w:rsid w:val="00B925B2"/>
    <w:rsid w:val="00B94F9B"/>
    <w:rsid w:val="00BA3033"/>
    <w:rsid w:val="00BA6863"/>
    <w:rsid w:val="00BB081C"/>
    <w:rsid w:val="00BD0AEC"/>
    <w:rsid w:val="00BD361B"/>
    <w:rsid w:val="00BF3838"/>
    <w:rsid w:val="00C001A9"/>
    <w:rsid w:val="00C01439"/>
    <w:rsid w:val="00C10F93"/>
    <w:rsid w:val="00C16801"/>
    <w:rsid w:val="00C32BEB"/>
    <w:rsid w:val="00C334D7"/>
    <w:rsid w:val="00C3488E"/>
    <w:rsid w:val="00C35723"/>
    <w:rsid w:val="00C364AE"/>
    <w:rsid w:val="00C51CED"/>
    <w:rsid w:val="00C66B8F"/>
    <w:rsid w:val="00C70F0E"/>
    <w:rsid w:val="00C721E2"/>
    <w:rsid w:val="00C93B1B"/>
    <w:rsid w:val="00CA280C"/>
    <w:rsid w:val="00CB3B1E"/>
    <w:rsid w:val="00CB6F72"/>
    <w:rsid w:val="00CC37A1"/>
    <w:rsid w:val="00CC7F10"/>
    <w:rsid w:val="00CD1675"/>
    <w:rsid w:val="00CE07AC"/>
    <w:rsid w:val="00CF6889"/>
    <w:rsid w:val="00D0231D"/>
    <w:rsid w:val="00D0484D"/>
    <w:rsid w:val="00D07675"/>
    <w:rsid w:val="00D47F2D"/>
    <w:rsid w:val="00D53949"/>
    <w:rsid w:val="00D62880"/>
    <w:rsid w:val="00D65DBB"/>
    <w:rsid w:val="00D67941"/>
    <w:rsid w:val="00D71544"/>
    <w:rsid w:val="00D76D01"/>
    <w:rsid w:val="00D80EF1"/>
    <w:rsid w:val="00D82A74"/>
    <w:rsid w:val="00D83238"/>
    <w:rsid w:val="00D87786"/>
    <w:rsid w:val="00D96D78"/>
    <w:rsid w:val="00DB62CB"/>
    <w:rsid w:val="00DE6F32"/>
    <w:rsid w:val="00DF5DB6"/>
    <w:rsid w:val="00E04583"/>
    <w:rsid w:val="00E05A0C"/>
    <w:rsid w:val="00E16A5B"/>
    <w:rsid w:val="00E31BAD"/>
    <w:rsid w:val="00E342E4"/>
    <w:rsid w:val="00E364A3"/>
    <w:rsid w:val="00E45F65"/>
    <w:rsid w:val="00E55B53"/>
    <w:rsid w:val="00E669D1"/>
    <w:rsid w:val="00E70F5A"/>
    <w:rsid w:val="00E82F02"/>
    <w:rsid w:val="00E847FF"/>
    <w:rsid w:val="00E8610D"/>
    <w:rsid w:val="00E87372"/>
    <w:rsid w:val="00E955BF"/>
    <w:rsid w:val="00E95935"/>
    <w:rsid w:val="00E9764E"/>
    <w:rsid w:val="00EA1403"/>
    <w:rsid w:val="00EA1E3E"/>
    <w:rsid w:val="00EA5AA7"/>
    <w:rsid w:val="00ED354E"/>
    <w:rsid w:val="00EF5945"/>
    <w:rsid w:val="00EF7551"/>
    <w:rsid w:val="00F00620"/>
    <w:rsid w:val="00F00B02"/>
    <w:rsid w:val="00F02333"/>
    <w:rsid w:val="00F10E6F"/>
    <w:rsid w:val="00F26A65"/>
    <w:rsid w:val="00F440AA"/>
    <w:rsid w:val="00F47EF7"/>
    <w:rsid w:val="00F53121"/>
    <w:rsid w:val="00F6106E"/>
    <w:rsid w:val="00F62BC0"/>
    <w:rsid w:val="00F6761F"/>
    <w:rsid w:val="00F710B4"/>
    <w:rsid w:val="00F75AC7"/>
    <w:rsid w:val="00F90312"/>
    <w:rsid w:val="00F9153D"/>
    <w:rsid w:val="00F948B5"/>
    <w:rsid w:val="00F952AD"/>
    <w:rsid w:val="00F95CA8"/>
    <w:rsid w:val="00FA4107"/>
    <w:rsid w:val="00FC2C8C"/>
    <w:rsid w:val="00FC7BD3"/>
    <w:rsid w:val="00FC7D9E"/>
    <w:rsid w:val="00FE4169"/>
    <w:rsid w:val="00FF5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8F41394"/>
  <w15:chartTrackingRefBased/>
  <w15:docId w15:val="{B9245F23-AB5E-45F8-A9DC-05B25ECA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AA"/>
    <w:rPr>
      <w:rFonts w:eastAsia="PMingLiU"/>
      <w:sz w:val="23"/>
      <w:lang w:val="en-AU"/>
    </w:rPr>
  </w:style>
  <w:style w:type="paragraph" w:styleId="Heading1">
    <w:name w:val="heading 1"/>
    <w:basedOn w:val="Normal"/>
    <w:qFormat/>
    <w:rsid w:val="00EF7551"/>
    <w:pPr>
      <w:numPr>
        <w:numId w:val="1"/>
      </w:numPr>
      <w:tabs>
        <w:tab w:val="clear" w:pos="737"/>
      </w:tabs>
      <w:spacing w:after="240"/>
      <w:outlineLvl w:val="0"/>
    </w:pPr>
  </w:style>
  <w:style w:type="paragraph" w:styleId="Heading2">
    <w:name w:val="heading 2"/>
    <w:basedOn w:val="Normal"/>
    <w:qFormat/>
    <w:rsid w:val="00EF7551"/>
    <w:pPr>
      <w:numPr>
        <w:ilvl w:val="1"/>
        <w:numId w:val="1"/>
      </w:numPr>
      <w:tabs>
        <w:tab w:val="clear" w:pos="737"/>
      </w:tabs>
      <w:spacing w:after="240"/>
      <w:outlineLvl w:val="1"/>
    </w:pPr>
  </w:style>
  <w:style w:type="paragraph" w:styleId="Heading3">
    <w:name w:val="heading 3"/>
    <w:basedOn w:val="Normal"/>
    <w:qFormat/>
    <w:rsid w:val="00EF7551"/>
    <w:pPr>
      <w:numPr>
        <w:ilvl w:val="2"/>
        <w:numId w:val="1"/>
      </w:numPr>
      <w:tabs>
        <w:tab w:val="clear" w:pos="1097"/>
      </w:tabs>
      <w:spacing w:after="240"/>
      <w:ind w:left="1474" w:hanging="737"/>
      <w:outlineLvl w:val="2"/>
    </w:pPr>
  </w:style>
  <w:style w:type="paragraph" w:styleId="Heading4">
    <w:name w:val="heading 4"/>
    <w:basedOn w:val="Normal"/>
    <w:qFormat/>
    <w:rsid w:val="00EF7551"/>
    <w:pPr>
      <w:numPr>
        <w:ilvl w:val="3"/>
        <w:numId w:val="1"/>
      </w:numPr>
      <w:tabs>
        <w:tab w:val="clear" w:pos="2194"/>
      </w:tabs>
      <w:spacing w:after="240"/>
      <w:ind w:left="2211" w:hanging="737"/>
      <w:outlineLvl w:val="3"/>
    </w:pPr>
  </w:style>
  <w:style w:type="paragraph" w:styleId="Heading5">
    <w:name w:val="heading 5"/>
    <w:basedOn w:val="Normal"/>
    <w:qFormat/>
    <w:rsid w:val="00EF7551"/>
    <w:pPr>
      <w:numPr>
        <w:ilvl w:val="4"/>
        <w:numId w:val="1"/>
      </w:numPr>
      <w:tabs>
        <w:tab w:val="clear" w:pos="2571"/>
      </w:tabs>
      <w:spacing w:after="240"/>
      <w:ind w:left="2948" w:hanging="737"/>
      <w:outlineLvl w:val="4"/>
    </w:pPr>
  </w:style>
  <w:style w:type="paragraph" w:styleId="Heading6">
    <w:name w:val="heading 6"/>
    <w:basedOn w:val="Normal"/>
    <w:qFormat/>
    <w:rsid w:val="00EF7551"/>
    <w:pPr>
      <w:numPr>
        <w:ilvl w:val="5"/>
        <w:numId w:val="1"/>
      </w:numPr>
      <w:spacing w:after="240"/>
      <w:outlineLvl w:val="5"/>
    </w:pPr>
  </w:style>
  <w:style w:type="paragraph" w:styleId="Heading7">
    <w:name w:val="heading 7"/>
    <w:basedOn w:val="Normal"/>
    <w:qFormat/>
    <w:rsid w:val="00EF7551"/>
    <w:pPr>
      <w:numPr>
        <w:ilvl w:val="6"/>
        <w:numId w:val="1"/>
      </w:numPr>
      <w:tabs>
        <w:tab w:val="clear" w:pos="737"/>
      </w:tabs>
      <w:spacing w:after="240"/>
      <w:outlineLvl w:val="6"/>
    </w:pPr>
  </w:style>
  <w:style w:type="paragraph" w:styleId="Heading8">
    <w:name w:val="heading 8"/>
    <w:basedOn w:val="Normal"/>
    <w:qFormat/>
    <w:rsid w:val="00EF7551"/>
    <w:pPr>
      <w:numPr>
        <w:ilvl w:val="7"/>
        <w:numId w:val="1"/>
      </w:numPr>
      <w:tabs>
        <w:tab w:val="clear" w:pos="1097"/>
      </w:tabs>
      <w:spacing w:after="240"/>
      <w:ind w:left="1474" w:hanging="737"/>
      <w:outlineLvl w:val="7"/>
    </w:pPr>
  </w:style>
  <w:style w:type="paragraph" w:styleId="Heading9">
    <w:name w:val="heading 9"/>
    <w:basedOn w:val="Normal"/>
    <w:qFormat/>
    <w:rsid w:val="00EF7551"/>
    <w:pPr>
      <w:numPr>
        <w:ilvl w:val="8"/>
        <w:numId w:val="1"/>
      </w:numPr>
      <w:tabs>
        <w:tab w:val="clear" w:pos="2194"/>
      </w:tabs>
      <w:spacing w:after="240"/>
      <w:ind w:left="2211" w:hanging="73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7551"/>
  </w:style>
  <w:style w:type="paragraph" w:styleId="BodyText">
    <w:name w:val="Body Text"/>
    <w:basedOn w:val="Normal"/>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EF7551"/>
    <w:rPr>
      <w:noProof w:val="0"/>
      <w:lang w:val="en-AU"/>
    </w:rPr>
  </w:style>
  <w:style w:type="table" w:styleId="TableGrid">
    <w:name w:val="Table Grid"/>
    <w:basedOn w:val="TableNormal"/>
    <w:rsid w:val="00F440AA"/>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paragraph" w:styleId="BalloonText">
    <w:name w:val="Balloon Text"/>
    <w:basedOn w:val="Normal"/>
    <w:semiHidden/>
    <w:rsid w:val="00DB62CB"/>
    <w:rPr>
      <w:rFonts w:ascii="Tahoma" w:hAnsi="Tahoma" w:cs="Tahoma"/>
      <w:sz w:val="16"/>
      <w:szCs w:val="16"/>
    </w:rPr>
  </w:style>
  <w:style w:type="paragraph" w:styleId="FootnoteText">
    <w:name w:val="footnote text"/>
    <w:basedOn w:val="Normal"/>
    <w:semiHidden/>
    <w:rsid w:val="009771BD"/>
    <w:rPr>
      <w:sz w:val="20"/>
    </w:rPr>
  </w:style>
  <w:style w:type="character" w:styleId="FootnoteReference">
    <w:name w:val="footnote reference"/>
    <w:semiHidden/>
    <w:rsid w:val="009771BD"/>
    <w:rPr>
      <w:vertAlign w:val="superscript"/>
    </w:rPr>
  </w:style>
  <w:style w:type="paragraph" w:customStyle="1" w:styleId="Default">
    <w:name w:val="Default"/>
    <w:rsid w:val="00A03807"/>
    <w:pPr>
      <w:autoSpaceDE w:val="0"/>
      <w:autoSpaceDN w:val="0"/>
      <w:adjustRightInd w:val="0"/>
    </w:pPr>
    <w:rPr>
      <w:color w:val="000000"/>
      <w:sz w:val="24"/>
      <w:szCs w:val="24"/>
    </w:rPr>
  </w:style>
  <w:style w:type="character" w:customStyle="1" w:styleId="st1">
    <w:name w:val="st1"/>
    <w:rsid w:val="00666B81"/>
  </w:style>
  <w:style w:type="character" w:styleId="Hyperlink">
    <w:name w:val="Hyperlink"/>
    <w:basedOn w:val="DefaultParagraphFont"/>
    <w:unhideWhenUsed/>
    <w:rsid w:val="00D96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2209">
      <w:bodyDiv w:val="1"/>
      <w:marLeft w:val="0"/>
      <w:marRight w:val="0"/>
      <w:marTop w:val="0"/>
      <w:marBottom w:val="0"/>
      <w:divBdr>
        <w:top w:val="none" w:sz="0" w:space="0" w:color="auto"/>
        <w:left w:val="none" w:sz="0" w:space="0" w:color="auto"/>
        <w:bottom w:val="none" w:sz="0" w:space="0" w:color="auto"/>
        <w:right w:val="none" w:sz="0" w:space="0" w:color="auto"/>
      </w:divBdr>
    </w:div>
    <w:div w:id="10358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hkex.com.hk/eng/cbbc/mce/mcetoday.htm" TargetMode="External" Type="http://schemas.openxmlformats.org/officeDocument/2006/relationships/hyperlink"/><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www.warrants.hsbc.com.hk/en/index" TargetMode="External" Type="http://schemas.openxmlformats.org/officeDocument/2006/relationships/hyperlink"/></Relationships>
</file>

<file path=word/_rels/settings.xml.rels><?xml version="1.0" encoding="UTF-8" standalone="yes"?><Relationships xmlns="http://schemas.openxmlformats.org/package/2006/relationships"><Relationship Id="rId1" Target="file:///C:/program%20files/msj/word/shared/fblank.dot"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25997-B61F-47AE-A6A1-700B62B0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fblank.dot</Template>
  <TotalTime>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HSBC</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Andrew C Y TSOI</dc:creator>
  <dc:description>PUBLIC -</dc:description>
  <cp:keywords>PUBLIC -</cp:keywords>
  <cp:lastModifiedBy>Alexandre D MARLY</cp:lastModifiedBy>
  <cp:lastPrinted>2014-10-08T10:56:00Z</cp:lastPrinted>
  <dcterms:modified xsi:type="dcterms:W3CDTF">2024-08-21T06:18:00Z</dcterms:modified>
  <cp:revision>6</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22 June 2006</vt:lpwstr>
  </property>
  <property fmtid="{D5CDD505-2E9C-101B-9397-08002B2CF9AE}" pid="3" name="cpClientMatter">
    <vt:lpwstr>16665-02438</vt:lpwstr>
  </property>
  <property fmtid="{D5CDD505-2E9C-101B-9397-08002B2CF9AE}" pid="4" name="cpDocRef">
    <vt:lpwstr>HK:5411405.1</vt:lpwstr>
  </property>
  <property fmtid="{D5CDD505-2E9C-101B-9397-08002B2CF9AE}" pid="5" name="cpCombinedRef">
    <vt:lpwstr>16665-02438 HK:5411405.1</vt:lpwstr>
  </property>
  <property fmtid="{D5CDD505-2E9C-101B-9397-08002B2CF9AE}" pid="6" name="Source">
    <vt:lpwstr>Internal</vt:lpwstr>
  </property>
  <property fmtid="{D5CDD505-2E9C-101B-9397-08002B2CF9AE}" pid="7" name="Footers">
    <vt:lpwstr>Footers</vt:lpwstr>
  </property>
  <property fmtid="{D5CDD505-2E9C-101B-9397-08002B2CF9AE}" pid="8" name="MSIP_Label_3486a02c-2dfb-4efe-823f-aa2d1f0e6ab7_Enabled">
    <vt:lpwstr>true</vt:lpwstr>
  </property>
  <property fmtid="{D5CDD505-2E9C-101B-9397-08002B2CF9AE}" pid="9" name="MSIP_Label_3486a02c-2dfb-4efe-823f-aa2d1f0e6ab7_SetDate">
    <vt:lpwstr>2024-08-21T06:18:54Z</vt:lpwstr>
  </property>
  <property fmtid="{D5CDD505-2E9C-101B-9397-08002B2CF9AE}" pid="10" name="MSIP_Label_3486a02c-2dfb-4efe-823f-aa2d1f0e6ab7_Method">
    <vt:lpwstr>Standard</vt:lpwstr>
  </property>
  <property fmtid="{D5CDD505-2E9C-101B-9397-08002B2CF9AE}" pid="11" name="MSIP_Label_3486a02c-2dfb-4efe-823f-aa2d1f0e6ab7_Name">
    <vt:lpwstr>CLAPUBLIC</vt:lpwstr>
  </property>
  <property fmtid="{D5CDD505-2E9C-101B-9397-08002B2CF9AE}" pid="12" name="MSIP_Label_3486a02c-2dfb-4efe-823f-aa2d1f0e6ab7_SiteId">
    <vt:lpwstr>e0fd434d-ba64-497b-90d2-859c472e1a92</vt:lpwstr>
  </property>
  <property fmtid="{D5CDD505-2E9C-101B-9397-08002B2CF9AE}" pid="13" name="MSIP_Label_3486a02c-2dfb-4efe-823f-aa2d1f0e6ab7_ActionId">
    <vt:lpwstr>9dcf65f7-a9e7-4266-ae70-91b78cec05eb</vt:lpwstr>
  </property>
  <property fmtid="{D5CDD505-2E9C-101B-9397-08002B2CF9AE}" pid="14" name="MSIP_Label_3486a02c-2dfb-4efe-823f-aa2d1f0e6ab7_ContentBits">
    <vt:lpwstr>2</vt:lpwstr>
  </property>
  <property fmtid="{D5CDD505-2E9C-101B-9397-08002B2CF9AE}" pid="15" name="Classification">
    <vt:lpwstr>PUBLIC</vt:lpwstr>
  </property>
</Properties>
</file>