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D89B1" w14:textId="075FAD99" w:rsidR="000848D1" w:rsidRDefault="00BD72B1">
      <w:pPr>
        <w:pStyle w:val="CM14"/>
        <w:snapToGrid w:val="0"/>
        <w:spacing w:after="0"/>
        <w:jc w:val="both"/>
        <w:rPr>
          <w:rFonts w:ascii="Times New Roman"/>
          <w:i/>
          <w:iCs/>
          <w:sz w:val="24"/>
        </w:rPr>
      </w:pPr>
      <w:r>
        <w:rPr>
          <w:rFonts w:ascii="Times New Roman"/>
          <w:i/>
          <w:iCs/>
          <w:sz w:val="24"/>
        </w:rPr>
        <w:t xml:space="preserve">Hong Kong Exchanges and Clearing Limited and The Stock Exchange of Hong Kong Limited take no responsibility for the contents of this </w:t>
      </w:r>
      <w:r>
        <w:rPr>
          <w:rFonts w:ascii="Times New Roman" w:hint="eastAsia"/>
          <w:i/>
          <w:iCs/>
          <w:sz w:val="24"/>
        </w:rPr>
        <w:t>announcemen</w:t>
      </w:r>
      <w:r>
        <w:rPr>
          <w:rFonts w:ascii="Times New Roman"/>
          <w:i/>
          <w:iCs/>
          <w:sz w:val="24"/>
        </w:rPr>
        <w:t xml:space="preserve">t, make no representation as to its accuracy or completeness and expressly disclaim any liability whatsoever for any loss howsoever arising from or in reliance upon the whole or any part of the contents of this </w:t>
      </w:r>
      <w:r>
        <w:rPr>
          <w:rFonts w:ascii="Times New Roman" w:hint="eastAsia"/>
          <w:i/>
          <w:iCs/>
          <w:sz w:val="24"/>
        </w:rPr>
        <w:t>announce</w:t>
      </w:r>
      <w:r>
        <w:rPr>
          <w:rFonts w:ascii="Times New Roman"/>
          <w:i/>
          <w:iCs/>
          <w:sz w:val="24"/>
        </w:rPr>
        <w:t>ment</w:t>
      </w:r>
      <w:r>
        <w:rPr>
          <w:rFonts w:ascii="Times New Roman" w:hint="eastAsia"/>
          <w:i/>
          <w:iCs/>
          <w:sz w:val="24"/>
        </w:rPr>
        <w:t>.</w:t>
      </w:r>
    </w:p>
    <w:p w14:paraId="7C9387B1" w14:textId="77777777" w:rsidR="007C5516" w:rsidRPr="007C5516" w:rsidRDefault="007C5516" w:rsidP="007C5516">
      <w:pPr>
        <w:pStyle w:val="Default"/>
      </w:pPr>
    </w:p>
    <w:p w14:paraId="00FD73F8" w14:textId="77777777" w:rsidR="000848D1" w:rsidRDefault="00BD72B1">
      <w:pPr>
        <w:pStyle w:val="CM14"/>
        <w:jc w:val="center"/>
        <w:rPr>
          <w:rFonts w:ascii="Times New Roman"/>
          <w:sz w:val="24"/>
        </w:rPr>
      </w:pPr>
      <w:r>
        <w:rPr>
          <w:noProof/>
        </w:rPr>
        <w:drawing>
          <wp:inline distT="0" distB="0" distL="0" distR="0" wp14:anchorId="2BD77783" wp14:editId="0410B622">
            <wp:extent cx="1600200" cy="6191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619125"/>
                    </a:xfrm>
                    <a:prstGeom prst="rect">
                      <a:avLst/>
                    </a:prstGeom>
                    <a:noFill/>
                    <a:ln>
                      <a:noFill/>
                    </a:ln>
                  </pic:spPr>
                </pic:pic>
              </a:graphicData>
            </a:graphic>
          </wp:inline>
        </w:drawing>
      </w:r>
    </w:p>
    <w:p w14:paraId="1656936A" w14:textId="2E322729" w:rsidR="000848D1" w:rsidRDefault="00BD72B1">
      <w:pPr>
        <w:pStyle w:val="1"/>
        <w:adjustRightInd w:val="0"/>
        <w:snapToGrid w:val="0"/>
        <w:spacing w:before="0" w:after="0" w:line="240" w:lineRule="auto"/>
        <w:jc w:val="center"/>
        <w:rPr>
          <w:rFonts w:ascii="Times New Roman" w:hAnsi="Times New Roman"/>
          <w:sz w:val="36"/>
        </w:rPr>
      </w:pPr>
      <w:r>
        <w:rPr>
          <w:rFonts w:ascii="Times New Roman" w:hAnsi="Times New Roman"/>
          <w:sz w:val="36"/>
        </w:rPr>
        <w:t>LUNG</w:t>
      </w:r>
      <w:r>
        <w:rPr>
          <w:rFonts w:ascii="Times New Roman" w:hAnsi="Times New Roman" w:hint="eastAsia"/>
          <w:sz w:val="36"/>
        </w:rPr>
        <w:t xml:space="preserve"> </w:t>
      </w:r>
      <w:r>
        <w:rPr>
          <w:rFonts w:ascii="Times New Roman" w:hAnsi="Times New Roman"/>
          <w:sz w:val="36"/>
        </w:rPr>
        <w:t>KEE</w:t>
      </w:r>
      <w:r>
        <w:rPr>
          <w:rFonts w:ascii="Times New Roman" w:hAnsi="Times New Roman" w:hint="eastAsia"/>
          <w:sz w:val="36"/>
        </w:rPr>
        <w:t xml:space="preserve"> </w:t>
      </w:r>
      <w:r w:rsidR="00445E3F">
        <w:rPr>
          <w:rFonts w:ascii="Times New Roman" w:hAnsi="Times New Roman" w:hint="eastAsia"/>
          <w:sz w:val="36"/>
        </w:rPr>
        <w:t>GROUP</w:t>
      </w:r>
      <w:r>
        <w:rPr>
          <w:rFonts w:ascii="Times New Roman" w:hAnsi="Times New Roman" w:hint="eastAsia"/>
          <w:sz w:val="36"/>
        </w:rPr>
        <w:t xml:space="preserve"> </w:t>
      </w:r>
      <w:r>
        <w:rPr>
          <w:rFonts w:ascii="Times New Roman" w:hAnsi="Times New Roman"/>
          <w:sz w:val="36"/>
        </w:rPr>
        <w:t>HOLDINGS</w:t>
      </w:r>
      <w:r>
        <w:rPr>
          <w:rFonts w:ascii="Times New Roman" w:hAnsi="Times New Roman" w:hint="eastAsia"/>
          <w:sz w:val="36"/>
        </w:rPr>
        <w:t xml:space="preserve"> </w:t>
      </w:r>
      <w:r>
        <w:rPr>
          <w:rFonts w:ascii="Times New Roman" w:hAnsi="Times New Roman"/>
          <w:sz w:val="36"/>
        </w:rPr>
        <w:t>LIMITED</w:t>
      </w:r>
    </w:p>
    <w:p w14:paraId="5FB73D2D" w14:textId="1A0CA90D" w:rsidR="001C65C4" w:rsidRPr="001C65C4" w:rsidRDefault="001C65C4" w:rsidP="001C65C4">
      <w:pPr>
        <w:jc w:val="center"/>
      </w:pPr>
      <w:r w:rsidRPr="0063065F">
        <w:rPr>
          <w:sz w:val="40"/>
          <w:szCs w:val="40"/>
        </w:rPr>
        <w:t>龍記集團控股有限公</w:t>
      </w:r>
      <w:r w:rsidRPr="0063065F">
        <w:rPr>
          <w:rFonts w:ascii="PMingLiU" w:hAnsi="PMingLiU" w:cs="PMingLiU" w:hint="eastAsia"/>
          <w:sz w:val="40"/>
          <w:szCs w:val="40"/>
        </w:rPr>
        <w:t>司</w:t>
      </w:r>
    </w:p>
    <w:p w14:paraId="12620455" w14:textId="77777777" w:rsidR="000848D1" w:rsidRDefault="00BD72B1">
      <w:pPr>
        <w:pStyle w:val="CM14"/>
        <w:snapToGrid w:val="0"/>
        <w:spacing w:after="0"/>
        <w:jc w:val="center"/>
        <w:rPr>
          <w:rFonts w:ascii="Times New Roman" w:eastAsia="MPFLD C+ Adv P 640 E"/>
          <w:i/>
          <w:iCs/>
          <w:color w:val="221E1F"/>
          <w:szCs w:val="20"/>
        </w:rPr>
      </w:pPr>
      <w:r>
        <w:rPr>
          <w:rFonts w:ascii="Times New Roman" w:eastAsia="MPFLD C+ Adv P 640 E"/>
          <w:i/>
          <w:iCs/>
          <w:color w:val="221E1F"/>
          <w:szCs w:val="20"/>
        </w:rPr>
        <w:t xml:space="preserve">(Incorporated in Bermuda with limited liability) </w:t>
      </w:r>
    </w:p>
    <w:p w14:paraId="554CE00C" w14:textId="77777777" w:rsidR="000848D1" w:rsidRDefault="00BD72B1">
      <w:pPr>
        <w:pStyle w:val="CM14"/>
        <w:snapToGrid w:val="0"/>
        <w:jc w:val="center"/>
        <w:rPr>
          <w:rFonts w:ascii="Times New Roman" w:eastAsia="MPFLD D+ Adv P 641 C"/>
          <w:b/>
          <w:bCs/>
          <w:color w:val="221E1F"/>
          <w:szCs w:val="16"/>
        </w:rPr>
      </w:pPr>
      <w:r>
        <w:rPr>
          <w:rFonts w:ascii="Times New Roman" w:eastAsia="MPFLD D+ Adv P 641 C"/>
          <w:b/>
          <w:bCs/>
          <w:color w:val="221E1F"/>
          <w:szCs w:val="16"/>
        </w:rPr>
        <w:t>(Stock code: 255)</w:t>
      </w:r>
    </w:p>
    <w:p w14:paraId="013C002C" w14:textId="1DECA98D" w:rsidR="000848D1" w:rsidRDefault="00BD72B1">
      <w:pPr>
        <w:pStyle w:val="CM1"/>
        <w:snapToGrid w:val="0"/>
        <w:jc w:val="center"/>
        <w:rPr>
          <w:rFonts w:ascii="Times New Roman" w:eastAsia="MPFLD D+ Adv P 641 C"/>
          <w:color w:val="221E1F"/>
          <w:szCs w:val="20"/>
        </w:rPr>
      </w:pPr>
      <w:hyperlink r:id="rId9" w:history="1">
        <w:hyperlink r:id="rId10" w:history="1">
          <w:r>
            <w:rPr>
              <w:rFonts w:ascii="Times New Roman" w:eastAsia="MPFLD D+ Adv P 641 C"/>
              <w:color w:val="221E1F"/>
              <w:szCs w:val="20"/>
            </w:rPr>
            <w:t xml:space="preserve"> Website: http://www.irasia.com/listco/hk/lkm </w:t>
          </w:r>
        </w:hyperlink>
      </w:hyperlink>
      <w:r w:rsidR="001C65C4">
        <w:tab/>
      </w:r>
    </w:p>
    <w:p w14:paraId="75DF3EA5" w14:textId="77777777" w:rsidR="000848D1" w:rsidRDefault="000848D1">
      <w:pPr>
        <w:pStyle w:val="Default"/>
        <w:snapToGrid w:val="0"/>
      </w:pPr>
    </w:p>
    <w:p w14:paraId="107335A8" w14:textId="5F866EAB" w:rsidR="000848D1" w:rsidRDefault="00BD72B1">
      <w:pPr>
        <w:pStyle w:val="1"/>
        <w:adjustRightInd w:val="0"/>
        <w:snapToGrid w:val="0"/>
        <w:spacing w:before="0" w:after="0" w:line="240" w:lineRule="auto"/>
        <w:jc w:val="center"/>
        <w:rPr>
          <w:rFonts w:ascii="Times New Roman" w:hAnsi="Times New Roman"/>
          <w:sz w:val="32"/>
        </w:rPr>
      </w:pPr>
      <w:r>
        <w:rPr>
          <w:rFonts w:ascii="Times New Roman" w:hAnsi="Times New Roman" w:hint="eastAsia"/>
          <w:sz w:val="32"/>
        </w:rPr>
        <w:t>PROFIT</w:t>
      </w:r>
      <w:r w:rsidR="00497AA2">
        <w:rPr>
          <w:rFonts w:ascii="Times New Roman" w:hAnsi="Times New Roman"/>
          <w:sz w:val="32"/>
        </w:rPr>
        <w:t xml:space="preserve"> WARNING</w:t>
      </w:r>
    </w:p>
    <w:p w14:paraId="2EDE3AD6" w14:textId="77777777" w:rsidR="000848D1" w:rsidRDefault="000848D1"/>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482"/>
      </w:tblGrid>
      <w:tr w:rsidR="000848D1" w14:paraId="3CADA226" w14:textId="77777777" w:rsidTr="00E91EB9">
        <w:trPr>
          <w:trHeight w:hRule="exact" w:val="2977"/>
        </w:trPr>
        <w:tc>
          <w:tcPr>
            <w:tcW w:w="9482" w:type="dxa"/>
            <w:vAlign w:val="center"/>
          </w:tcPr>
          <w:p w14:paraId="1E83DE30" w14:textId="7825A584" w:rsidR="000848D1" w:rsidRPr="00A6421B" w:rsidRDefault="00BD72B1">
            <w:pPr>
              <w:adjustRightInd w:val="0"/>
              <w:snapToGrid w:val="0"/>
              <w:ind w:rightChars="70" w:right="168"/>
              <w:jc w:val="both"/>
              <w:rPr>
                <w:kern w:val="0"/>
              </w:rPr>
            </w:pPr>
            <w:r w:rsidRPr="00A6421B">
              <w:rPr>
                <w:kern w:val="0"/>
              </w:rPr>
              <w:t>This announcement is made by the Board pursuant to Rule 13.09(2)</w:t>
            </w:r>
            <w:r w:rsidR="003A36FB" w:rsidRPr="00A6421B">
              <w:rPr>
                <w:kern w:val="0"/>
              </w:rPr>
              <w:t>(a)</w:t>
            </w:r>
            <w:r w:rsidRPr="00A6421B">
              <w:rPr>
                <w:kern w:val="0"/>
              </w:rPr>
              <w:t xml:space="preserve"> of the Listing</w:t>
            </w:r>
            <w:r w:rsidRPr="00A6421B">
              <w:rPr>
                <w:rFonts w:hint="eastAsia"/>
                <w:kern w:val="0"/>
              </w:rPr>
              <w:t xml:space="preserve"> </w:t>
            </w:r>
            <w:r w:rsidRPr="00A6421B">
              <w:rPr>
                <w:kern w:val="0"/>
              </w:rPr>
              <w:t>Rules and the Inside Information Provisions</w:t>
            </w:r>
            <w:r w:rsidR="00ED1F2A" w:rsidRPr="00A6421B">
              <w:rPr>
                <w:kern w:val="0"/>
              </w:rPr>
              <w:t xml:space="preserve"> under Part XIVA of the SFO</w:t>
            </w:r>
            <w:r w:rsidRPr="00A6421B">
              <w:rPr>
                <w:kern w:val="0"/>
              </w:rPr>
              <w:t>.</w:t>
            </w:r>
          </w:p>
          <w:p w14:paraId="43EFA4FD" w14:textId="77777777" w:rsidR="000848D1" w:rsidRPr="00A6421B" w:rsidRDefault="000848D1">
            <w:pPr>
              <w:adjustRightInd w:val="0"/>
              <w:snapToGrid w:val="0"/>
              <w:ind w:rightChars="70" w:right="168"/>
              <w:jc w:val="both"/>
              <w:rPr>
                <w:kern w:val="0"/>
              </w:rPr>
            </w:pPr>
          </w:p>
          <w:p w14:paraId="5B9957AC" w14:textId="131D4339" w:rsidR="000848D1" w:rsidRPr="00A6421B" w:rsidRDefault="00BD72B1">
            <w:pPr>
              <w:adjustRightInd w:val="0"/>
              <w:snapToGrid w:val="0"/>
              <w:ind w:rightChars="70" w:right="168"/>
              <w:jc w:val="both"/>
              <w:rPr>
                <w:kern w:val="0"/>
              </w:rPr>
            </w:pPr>
            <w:r w:rsidRPr="00A6421B">
              <w:rPr>
                <w:kern w:val="0"/>
              </w:rPr>
              <w:t>Based on the currently available information, the Board wishes to inform the</w:t>
            </w:r>
            <w:r w:rsidRPr="00A6421B">
              <w:rPr>
                <w:rFonts w:hint="eastAsia"/>
                <w:kern w:val="0"/>
              </w:rPr>
              <w:t xml:space="preserve"> </w:t>
            </w:r>
            <w:r w:rsidRPr="00A6421B">
              <w:rPr>
                <w:kern w:val="0"/>
              </w:rPr>
              <w:t xml:space="preserve">Shareholders and </w:t>
            </w:r>
            <w:r w:rsidRPr="00A6421B">
              <w:rPr>
                <w:rFonts w:hint="eastAsia"/>
                <w:kern w:val="0"/>
              </w:rPr>
              <w:t>potential</w:t>
            </w:r>
            <w:r w:rsidRPr="00A6421B">
              <w:rPr>
                <w:kern w:val="0"/>
              </w:rPr>
              <w:t xml:space="preserve"> investors that </w:t>
            </w:r>
            <w:r w:rsidR="00E26CE9">
              <w:rPr>
                <w:kern w:val="0"/>
              </w:rPr>
              <w:t xml:space="preserve">the Group is expected to </w:t>
            </w:r>
            <w:r w:rsidR="00E26CE9" w:rsidRPr="00A6421B">
              <w:rPr>
                <w:kern w:val="0"/>
              </w:rPr>
              <w:t xml:space="preserve">record </w:t>
            </w:r>
            <w:r w:rsidR="00747052" w:rsidRPr="0020170E">
              <w:rPr>
                <w:kern w:val="0"/>
              </w:rPr>
              <w:t xml:space="preserve">a </w:t>
            </w:r>
            <w:r w:rsidR="00747052" w:rsidRPr="000829A0">
              <w:rPr>
                <w:kern w:val="0"/>
              </w:rPr>
              <w:t>net loss of not less than HK$</w:t>
            </w:r>
            <w:r w:rsidR="0097020D">
              <w:rPr>
                <w:rFonts w:hint="eastAsia"/>
                <w:kern w:val="0"/>
              </w:rPr>
              <w:t>9</w:t>
            </w:r>
            <w:r w:rsidR="00747052" w:rsidRPr="000829A0">
              <w:rPr>
                <w:kern w:val="0"/>
              </w:rPr>
              <w:t xml:space="preserve"> million</w:t>
            </w:r>
            <w:r w:rsidR="00747052">
              <w:rPr>
                <w:kern w:val="0"/>
              </w:rPr>
              <w:t xml:space="preserve"> </w:t>
            </w:r>
            <w:r w:rsidR="00747052" w:rsidRPr="0020170E">
              <w:rPr>
                <w:kern w:val="0"/>
              </w:rPr>
              <w:t xml:space="preserve">for the </w:t>
            </w:r>
            <w:r w:rsidR="00137CA1">
              <w:rPr>
                <w:kern w:val="0"/>
              </w:rPr>
              <w:t>six months ended 30 June 2026</w:t>
            </w:r>
            <w:r w:rsidR="00747052">
              <w:rPr>
                <w:kern w:val="0"/>
              </w:rPr>
              <w:t xml:space="preserve"> </w:t>
            </w:r>
            <w:r w:rsidR="00747052" w:rsidRPr="00A6421B">
              <w:rPr>
                <w:kern w:val="0"/>
              </w:rPr>
              <w:t>as compared</w:t>
            </w:r>
            <w:r w:rsidR="00747052" w:rsidRPr="00A6421B">
              <w:rPr>
                <w:rFonts w:hint="eastAsia"/>
                <w:kern w:val="0"/>
              </w:rPr>
              <w:t xml:space="preserve"> </w:t>
            </w:r>
            <w:r w:rsidR="00747052">
              <w:rPr>
                <w:kern w:val="0"/>
              </w:rPr>
              <w:t xml:space="preserve">to the net </w:t>
            </w:r>
            <w:r w:rsidR="00445E3F">
              <w:rPr>
                <w:rFonts w:hint="eastAsia"/>
                <w:kern w:val="0"/>
              </w:rPr>
              <w:t>loss</w:t>
            </w:r>
            <w:r w:rsidR="00747052">
              <w:rPr>
                <w:kern w:val="0"/>
              </w:rPr>
              <w:t xml:space="preserve"> of HK$</w:t>
            </w:r>
            <w:r w:rsidR="0097020D">
              <w:rPr>
                <w:rFonts w:hint="eastAsia"/>
                <w:kern w:val="0"/>
              </w:rPr>
              <w:t>3.6</w:t>
            </w:r>
            <w:r w:rsidR="00747052">
              <w:rPr>
                <w:kern w:val="0"/>
              </w:rPr>
              <w:t xml:space="preserve"> million recorded for the </w:t>
            </w:r>
            <w:r w:rsidR="00943173">
              <w:rPr>
                <w:kern w:val="0"/>
              </w:rPr>
              <w:t>six months ended 30 June 2025</w:t>
            </w:r>
            <w:r w:rsidR="0050578B" w:rsidRPr="00A6421B">
              <w:rPr>
                <w:kern w:val="0"/>
              </w:rPr>
              <w:t>.</w:t>
            </w:r>
          </w:p>
          <w:p w14:paraId="24C5528E" w14:textId="77777777" w:rsidR="000848D1" w:rsidRPr="00E26CE9" w:rsidRDefault="000848D1">
            <w:pPr>
              <w:adjustRightInd w:val="0"/>
              <w:snapToGrid w:val="0"/>
              <w:ind w:rightChars="70" w:right="168"/>
              <w:jc w:val="both"/>
              <w:rPr>
                <w:kern w:val="0"/>
              </w:rPr>
            </w:pPr>
          </w:p>
          <w:p w14:paraId="40FCC8BC" w14:textId="761BB1F2" w:rsidR="000848D1" w:rsidRDefault="00BD72B1">
            <w:pPr>
              <w:adjustRightInd w:val="0"/>
              <w:snapToGrid w:val="0"/>
              <w:ind w:rightChars="70" w:right="168"/>
              <w:jc w:val="both"/>
              <w:rPr>
                <w:color w:val="221E1F"/>
                <w:szCs w:val="28"/>
              </w:rPr>
            </w:pPr>
            <w:r w:rsidRPr="00A6421B">
              <w:rPr>
                <w:b/>
                <w:bCs/>
                <w:kern w:val="0"/>
              </w:rPr>
              <w:t>Shareholders and potential investors are advised to</w:t>
            </w:r>
            <w:r w:rsidRPr="00A6421B">
              <w:rPr>
                <w:rFonts w:hint="eastAsia"/>
                <w:b/>
                <w:bCs/>
                <w:kern w:val="0"/>
              </w:rPr>
              <w:t xml:space="preserve"> </w:t>
            </w:r>
            <w:r w:rsidRPr="00A6421B">
              <w:rPr>
                <w:b/>
                <w:bCs/>
                <w:kern w:val="0"/>
              </w:rPr>
              <w:t>exercise caution when dealings in the shares of the Company.</w:t>
            </w:r>
          </w:p>
        </w:tc>
      </w:tr>
    </w:tbl>
    <w:p w14:paraId="6C325B14" w14:textId="77777777" w:rsidR="000848D1" w:rsidRDefault="000848D1">
      <w:pPr>
        <w:pStyle w:val="20"/>
      </w:pPr>
    </w:p>
    <w:p w14:paraId="62DCEED9" w14:textId="3532148E" w:rsidR="000848D1" w:rsidRDefault="00BD72B1">
      <w:pPr>
        <w:adjustRightInd w:val="0"/>
        <w:snapToGrid w:val="0"/>
        <w:jc w:val="both"/>
        <w:rPr>
          <w:kern w:val="0"/>
        </w:rPr>
      </w:pPr>
      <w:r>
        <w:rPr>
          <w:kern w:val="0"/>
        </w:rPr>
        <w:t>This announcement is made by the board of directors (the “</w:t>
      </w:r>
      <w:r>
        <w:rPr>
          <w:b/>
          <w:bCs/>
          <w:kern w:val="0"/>
        </w:rPr>
        <w:t>Board</w:t>
      </w:r>
      <w:r>
        <w:rPr>
          <w:kern w:val="0"/>
        </w:rPr>
        <w:t xml:space="preserve">”) of </w:t>
      </w:r>
      <w:r>
        <w:t>Lung</w:t>
      </w:r>
      <w:r>
        <w:rPr>
          <w:rFonts w:hint="eastAsia"/>
        </w:rPr>
        <w:t xml:space="preserve"> </w:t>
      </w:r>
      <w:r>
        <w:t>Kee</w:t>
      </w:r>
      <w:r>
        <w:rPr>
          <w:rFonts w:hint="eastAsia"/>
        </w:rPr>
        <w:t xml:space="preserve"> </w:t>
      </w:r>
      <w:r w:rsidR="0035605D">
        <w:rPr>
          <w:rFonts w:hint="eastAsia"/>
        </w:rPr>
        <w:t>Group</w:t>
      </w:r>
      <w:r>
        <w:rPr>
          <w:rFonts w:hint="eastAsia"/>
        </w:rPr>
        <w:t xml:space="preserve"> </w:t>
      </w:r>
      <w:r>
        <w:t>Holdings</w:t>
      </w:r>
      <w:r>
        <w:rPr>
          <w:rFonts w:hint="eastAsia"/>
        </w:rPr>
        <w:t xml:space="preserve"> </w:t>
      </w:r>
      <w:r>
        <w:t>Limited</w:t>
      </w:r>
      <w:r>
        <w:rPr>
          <w:kern w:val="0"/>
        </w:rPr>
        <w:t xml:space="preserve"> (the “</w:t>
      </w:r>
      <w:r>
        <w:rPr>
          <w:b/>
          <w:bCs/>
          <w:kern w:val="0"/>
        </w:rPr>
        <w:t>Company</w:t>
      </w:r>
      <w:r>
        <w:rPr>
          <w:kern w:val="0"/>
        </w:rPr>
        <w:t>” which together with</w:t>
      </w:r>
      <w:r>
        <w:rPr>
          <w:rFonts w:hint="eastAsia"/>
          <w:kern w:val="0"/>
        </w:rPr>
        <w:t xml:space="preserve"> </w:t>
      </w:r>
      <w:r>
        <w:rPr>
          <w:kern w:val="0"/>
        </w:rPr>
        <w:t>its subsidiaries, the “</w:t>
      </w:r>
      <w:r>
        <w:rPr>
          <w:b/>
          <w:bCs/>
          <w:kern w:val="0"/>
        </w:rPr>
        <w:t>Group</w:t>
      </w:r>
      <w:r>
        <w:rPr>
          <w:kern w:val="0"/>
        </w:rPr>
        <w:t>”) pursuant to Rule 13.09(2)</w:t>
      </w:r>
      <w:r w:rsidR="003A36FB">
        <w:rPr>
          <w:kern w:val="0"/>
        </w:rPr>
        <w:t>(a)</w:t>
      </w:r>
      <w:r>
        <w:rPr>
          <w:kern w:val="0"/>
        </w:rPr>
        <w:t xml:space="preserve"> of The Rules Governing the</w:t>
      </w:r>
      <w:r>
        <w:rPr>
          <w:rFonts w:hint="eastAsia"/>
          <w:kern w:val="0"/>
        </w:rPr>
        <w:t xml:space="preserve"> </w:t>
      </w:r>
      <w:r>
        <w:rPr>
          <w:kern w:val="0"/>
        </w:rPr>
        <w:t>Listing of Securities on The Stock Exchange of Hong Kong Limited (the “</w:t>
      </w:r>
      <w:r>
        <w:rPr>
          <w:b/>
          <w:bCs/>
          <w:kern w:val="0"/>
        </w:rPr>
        <w:t>Listing</w:t>
      </w:r>
      <w:r>
        <w:rPr>
          <w:rFonts w:hint="eastAsia"/>
          <w:b/>
          <w:bCs/>
          <w:kern w:val="0"/>
        </w:rPr>
        <w:t xml:space="preserve"> </w:t>
      </w:r>
      <w:r>
        <w:rPr>
          <w:b/>
          <w:bCs/>
          <w:kern w:val="0"/>
        </w:rPr>
        <w:t>Rules</w:t>
      </w:r>
      <w:r>
        <w:rPr>
          <w:kern w:val="0"/>
        </w:rPr>
        <w:t xml:space="preserve">”) and the </w:t>
      </w:r>
      <w:r w:rsidR="00ED1F2A">
        <w:rPr>
          <w:kern w:val="0"/>
        </w:rPr>
        <w:t>I</w:t>
      </w:r>
      <w:r>
        <w:rPr>
          <w:kern w:val="0"/>
        </w:rPr>
        <w:t xml:space="preserve">nside </w:t>
      </w:r>
      <w:r w:rsidR="00ED1F2A">
        <w:rPr>
          <w:kern w:val="0"/>
        </w:rPr>
        <w:t>I</w:t>
      </w:r>
      <w:r>
        <w:rPr>
          <w:kern w:val="0"/>
        </w:rPr>
        <w:t xml:space="preserve">nformation </w:t>
      </w:r>
      <w:r w:rsidR="00ED1F2A">
        <w:rPr>
          <w:kern w:val="0"/>
        </w:rPr>
        <w:t>P</w:t>
      </w:r>
      <w:r>
        <w:rPr>
          <w:kern w:val="0"/>
        </w:rPr>
        <w:t>rovisions</w:t>
      </w:r>
      <w:r w:rsidR="003A36FB">
        <w:rPr>
          <w:kern w:val="0"/>
        </w:rPr>
        <w:t xml:space="preserve"> (as defined </w:t>
      </w:r>
      <w:r w:rsidR="00ED1F2A">
        <w:rPr>
          <w:kern w:val="0"/>
        </w:rPr>
        <w:t xml:space="preserve">in the </w:t>
      </w:r>
      <w:r w:rsidR="003A36FB">
        <w:rPr>
          <w:kern w:val="0"/>
        </w:rPr>
        <w:t>Listing Rules)</w:t>
      </w:r>
      <w:r>
        <w:rPr>
          <w:kern w:val="0"/>
        </w:rPr>
        <w:t xml:space="preserve"> under Part XIVA of the Securities and Futures Ordinance (Chapter 571</w:t>
      </w:r>
      <w:r>
        <w:rPr>
          <w:rFonts w:hint="eastAsia"/>
          <w:kern w:val="0"/>
        </w:rPr>
        <w:t xml:space="preserve"> </w:t>
      </w:r>
      <w:r>
        <w:rPr>
          <w:kern w:val="0"/>
        </w:rPr>
        <w:t>of the laws of Hong Kong)</w:t>
      </w:r>
      <w:r w:rsidR="003A36FB" w:rsidRPr="003A36FB">
        <w:rPr>
          <w:kern w:val="0"/>
        </w:rPr>
        <w:t xml:space="preserve"> </w:t>
      </w:r>
      <w:r w:rsidR="003A36FB">
        <w:rPr>
          <w:kern w:val="0"/>
        </w:rPr>
        <w:t>(the “</w:t>
      </w:r>
      <w:r w:rsidR="00ED1F2A" w:rsidRPr="00ED1F2A">
        <w:rPr>
          <w:b/>
          <w:bCs/>
          <w:kern w:val="0"/>
        </w:rPr>
        <w:t>SFO</w:t>
      </w:r>
      <w:r w:rsidR="003A36FB">
        <w:rPr>
          <w:kern w:val="0"/>
        </w:rPr>
        <w:t>”)</w:t>
      </w:r>
      <w:r>
        <w:rPr>
          <w:kern w:val="0"/>
        </w:rPr>
        <w:t>.</w:t>
      </w:r>
    </w:p>
    <w:p w14:paraId="50C3D9EA" w14:textId="77777777" w:rsidR="000848D1" w:rsidRDefault="000848D1">
      <w:pPr>
        <w:adjustRightInd w:val="0"/>
        <w:snapToGrid w:val="0"/>
        <w:jc w:val="both"/>
        <w:rPr>
          <w:kern w:val="0"/>
        </w:rPr>
      </w:pPr>
    </w:p>
    <w:p w14:paraId="23F839BF" w14:textId="0CC50C43" w:rsidR="00445E3F" w:rsidRDefault="009E7096" w:rsidP="00445E3F">
      <w:pPr>
        <w:adjustRightInd w:val="0"/>
        <w:snapToGrid w:val="0"/>
        <w:jc w:val="both"/>
        <w:rPr>
          <w:kern w:val="0"/>
        </w:rPr>
      </w:pPr>
      <w:r w:rsidRPr="00E52991">
        <w:rPr>
          <w:kern w:val="0"/>
        </w:rPr>
        <w:t>The Board wishes to inform the shareholders of the Company (the “</w:t>
      </w:r>
      <w:r w:rsidRPr="00E52991">
        <w:rPr>
          <w:b/>
          <w:bCs/>
          <w:kern w:val="0"/>
        </w:rPr>
        <w:t>Shareholders</w:t>
      </w:r>
      <w:r w:rsidRPr="00E52991">
        <w:rPr>
          <w:kern w:val="0"/>
        </w:rPr>
        <w:t xml:space="preserve">”) and potential investors that based on the latest review of the unaudited management accounts and the information of the Group currently available to the Board, the Group is expected to record </w:t>
      </w:r>
      <w:r w:rsidR="00284079" w:rsidRPr="0020170E">
        <w:rPr>
          <w:kern w:val="0"/>
        </w:rPr>
        <w:t xml:space="preserve">a </w:t>
      </w:r>
      <w:r w:rsidR="000E3A17" w:rsidRPr="000829A0">
        <w:rPr>
          <w:kern w:val="0"/>
        </w:rPr>
        <w:t>net loss of not less than HK$</w:t>
      </w:r>
      <w:r w:rsidR="0097020D">
        <w:rPr>
          <w:rFonts w:hint="eastAsia"/>
          <w:kern w:val="0"/>
        </w:rPr>
        <w:t>9</w:t>
      </w:r>
      <w:r w:rsidR="000E3A17" w:rsidRPr="000829A0">
        <w:rPr>
          <w:kern w:val="0"/>
        </w:rPr>
        <w:t xml:space="preserve"> million</w:t>
      </w:r>
      <w:r w:rsidR="000E3A17">
        <w:rPr>
          <w:kern w:val="0"/>
        </w:rPr>
        <w:t xml:space="preserve"> </w:t>
      </w:r>
      <w:r w:rsidR="00284079" w:rsidRPr="0020170E">
        <w:rPr>
          <w:kern w:val="0"/>
        </w:rPr>
        <w:t xml:space="preserve">for the </w:t>
      </w:r>
      <w:r w:rsidR="00137CA1">
        <w:rPr>
          <w:kern w:val="0"/>
        </w:rPr>
        <w:t>six months ended 30 June 2026</w:t>
      </w:r>
      <w:r w:rsidR="00284079">
        <w:rPr>
          <w:kern w:val="0"/>
        </w:rPr>
        <w:t xml:space="preserve"> </w:t>
      </w:r>
      <w:r w:rsidR="00F15901" w:rsidRPr="00A6421B">
        <w:rPr>
          <w:kern w:val="0"/>
        </w:rPr>
        <w:t>as compared</w:t>
      </w:r>
      <w:r w:rsidR="00F15901" w:rsidRPr="00A6421B">
        <w:rPr>
          <w:rFonts w:hint="eastAsia"/>
          <w:kern w:val="0"/>
        </w:rPr>
        <w:t xml:space="preserve"> </w:t>
      </w:r>
      <w:r w:rsidR="00F15901">
        <w:rPr>
          <w:kern w:val="0"/>
        </w:rPr>
        <w:t xml:space="preserve">to the net </w:t>
      </w:r>
      <w:r w:rsidR="00AF75A5">
        <w:rPr>
          <w:rFonts w:hint="eastAsia"/>
          <w:kern w:val="0"/>
        </w:rPr>
        <w:t>loss</w:t>
      </w:r>
      <w:r w:rsidR="00F15901" w:rsidRPr="003655D2">
        <w:rPr>
          <w:kern w:val="0"/>
        </w:rPr>
        <w:t xml:space="preserve"> of HK$</w:t>
      </w:r>
      <w:r w:rsidR="006C6DA9" w:rsidRPr="006C6DA9">
        <w:rPr>
          <w:kern w:val="0"/>
        </w:rPr>
        <w:t>3.6</w:t>
      </w:r>
      <w:r w:rsidR="00F15901" w:rsidRPr="003655D2">
        <w:rPr>
          <w:kern w:val="0"/>
        </w:rPr>
        <w:t xml:space="preserve"> million recorded for the </w:t>
      </w:r>
      <w:r w:rsidR="00943173">
        <w:rPr>
          <w:kern w:val="0"/>
        </w:rPr>
        <w:t>six months ended 30 June 2025</w:t>
      </w:r>
      <w:r w:rsidRPr="003655D2">
        <w:rPr>
          <w:kern w:val="0"/>
        </w:rPr>
        <w:t>.</w:t>
      </w:r>
      <w:r w:rsidR="003943FD" w:rsidRPr="003655D2">
        <w:rPr>
          <w:kern w:val="0"/>
        </w:rPr>
        <w:t xml:space="preserve"> </w:t>
      </w:r>
      <w:r w:rsidR="00AC62CD" w:rsidRPr="00443597">
        <w:rPr>
          <w:kern w:val="0"/>
        </w:rPr>
        <w:t>The</w:t>
      </w:r>
      <w:r w:rsidR="000E3A17" w:rsidRPr="00443597">
        <w:rPr>
          <w:kern w:val="0"/>
        </w:rPr>
        <w:t xml:space="preserve"> </w:t>
      </w:r>
      <w:r w:rsidR="00445E3F">
        <w:rPr>
          <w:rFonts w:hint="eastAsia"/>
          <w:kern w:val="0"/>
        </w:rPr>
        <w:t>increase in net loss is primarily attributable to (</w:t>
      </w:r>
      <w:proofErr w:type="spellStart"/>
      <w:r w:rsidR="00445E3F">
        <w:rPr>
          <w:rFonts w:hint="eastAsia"/>
          <w:kern w:val="0"/>
        </w:rPr>
        <w:t>i</w:t>
      </w:r>
      <w:proofErr w:type="spellEnd"/>
      <w:r w:rsidR="00445E3F">
        <w:rPr>
          <w:rFonts w:hint="eastAsia"/>
          <w:kern w:val="0"/>
        </w:rPr>
        <w:t xml:space="preserve">) </w:t>
      </w:r>
      <w:r w:rsidR="00445E3F" w:rsidRPr="00413A38">
        <w:rPr>
          <w:kern w:val="0"/>
        </w:rPr>
        <w:t xml:space="preserve">the reduction of </w:t>
      </w:r>
      <w:r w:rsidR="0057328A">
        <w:rPr>
          <w:rFonts w:hint="eastAsia"/>
          <w:kern w:val="0"/>
        </w:rPr>
        <w:t>the Group</w:t>
      </w:r>
      <w:r w:rsidR="0057328A">
        <w:rPr>
          <w:kern w:val="0"/>
        </w:rPr>
        <w:t>’</w:t>
      </w:r>
      <w:r w:rsidR="0057328A">
        <w:rPr>
          <w:rFonts w:hint="eastAsia"/>
          <w:kern w:val="0"/>
        </w:rPr>
        <w:t>s sales revenue under</w:t>
      </w:r>
      <w:r w:rsidR="00445E3F" w:rsidRPr="00413A38">
        <w:rPr>
          <w:kern w:val="0"/>
        </w:rPr>
        <w:t xml:space="preserve"> the tough</w:t>
      </w:r>
      <w:r w:rsidR="00E12B21">
        <w:rPr>
          <w:rFonts w:hint="eastAsia"/>
          <w:kern w:val="0"/>
        </w:rPr>
        <w:t xml:space="preserve"> market</w:t>
      </w:r>
      <w:r w:rsidR="00445E3F" w:rsidRPr="00413A38">
        <w:rPr>
          <w:kern w:val="0"/>
        </w:rPr>
        <w:t xml:space="preserve"> environment</w:t>
      </w:r>
      <w:r w:rsidR="00445E3F">
        <w:rPr>
          <w:rFonts w:hint="eastAsia"/>
          <w:kern w:val="0"/>
        </w:rPr>
        <w:t xml:space="preserve">; and (ii) </w:t>
      </w:r>
      <w:r w:rsidR="00445E3F" w:rsidRPr="00413A38">
        <w:rPr>
          <w:kern w:val="0"/>
        </w:rPr>
        <w:t xml:space="preserve">the decrease in fair value of investments properties for the </w:t>
      </w:r>
      <w:r w:rsidR="00137CA1">
        <w:rPr>
          <w:kern w:val="0"/>
        </w:rPr>
        <w:t>six months ended 30 June 2026</w:t>
      </w:r>
      <w:r w:rsidR="00445E3F" w:rsidRPr="00413A38">
        <w:rPr>
          <w:kern w:val="0"/>
        </w:rPr>
        <w:t xml:space="preserve"> amounting to HK$</w:t>
      </w:r>
      <w:r w:rsidR="0097020D">
        <w:rPr>
          <w:rFonts w:hint="eastAsia"/>
          <w:kern w:val="0"/>
        </w:rPr>
        <w:t>4.3</w:t>
      </w:r>
      <w:r w:rsidR="00445E3F" w:rsidRPr="00413A38">
        <w:rPr>
          <w:kern w:val="0"/>
        </w:rPr>
        <w:t xml:space="preserve"> million (202</w:t>
      </w:r>
      <w:r w:rsidR="0097020D">
        <w:rPr>
          <w:rFonts w:hint="eastAsia"/>
          <w:kern w:val="0"/>
        </w:rPr>
        <w:t>5</w:t>
      </w:r>
      <w:r w:rsidR="00445E3F" w:rsidRPr="00413A38">
        <w:rPr>
          <w:kern w:val="0"/>
        </w:rPr>
        <w:t>: HK$</w:t>
      </w:r>
      <w:r w:rsidR="0097020D">
        <w:rPr>
          <w:rFonts w:hint="eastAsia"/>
          <w:kern w:val="0"/>
        </w:rPr>
        <w:t>3.1</w:t>
      </w:r>
      <w:r w:rsidR="00445E3F" w:rsidRPr="00413A38">
        <w:rPr>
          <w:kern w:val="0"/>
        </w:rPr>
        <w:t xml:space="preserve"> million) caused by the downward adjustment of market rent for retail properties in Hong Kong</w:t>
      </w:r>
      <w:r w:rsidR="00445E3F" w:rsidRPr="00B856D7">
        <w:rPr>
          <w:kern w:val="0"/>
        </w:rPr>
        <w:t>.</w:t>
      </w:r>
    </w:p>
    <w:p w14:paraId="7B9463A9" w14:textId="21AAD1E2" w:rsidR="00FE7F3C" w:rsidRDefault="00FE7F3C">
      <w:pPr>
        <w:widowControl/>
      </w:pPr>
      <w:r>
        <w:br w:type="page"/>
      </w:r>
    </w:p>
    <w:p w14:paraId="5FB6EDA4" w14:textId="551BA5F0" w:rsidR="00DA2F7A" w:rsidRPr="00DA2F7A" w:rsidRDefault="00F2263A" w:rsidP="00DA2F7A">
      <w:pPr>
        <w:adjustRightInd w:val="0"/>
        <w:snapToGrid w:val="0"/>
        <w:jc w:val="both"/>
        <w:rPr>
          <w:kern w:val="0"/>
        </w:rPr>
      </w:pPr>
      <w:r>
        <w:rPr>
          <w:kern w:val="0"/>
        </w:rPr>
        <w:lastRenderedPageBreak/>
        <w:t>The Company is</w:t>
      </w:r>
      <w:r w:rsidR="00F7415A">
        <w:rPr>
          <w:kern w:val="0"/>
        </w:rPr>
        <w:t xml:space="preserve"> still</w:t>
      </w:r>
      <w:r>
        <w:rPr>
          <w:kern w:val="0"/>
        </w:rPr>
        <w:t xml:space="preserve"> </w:t>
      </w:r>
      <w:proofErr w:type="spellStart"/>
      <w:r w:rsidR="002D42D2">
        <w:rPr>
          <w:kern w:val="0"/>
        </w:rPr>
        <w:t>final</w:t>
      </w:r>
      <w:r>
        <w:rPr>
          <w:kern w:val="0"/>
        </w:rPr>
        <w:t>ising</w:t>
      </w:r>
      <w:proofErr w:type="spellEnd"/>
      <w:r>
        <w:rPr>
          <w:kern w:val="0"/>
        </w:rPr>
        <w:t xml:space="preserve"> the</w:t>
      </w:r>
      <w:r w:rsidR="00F15901">
        <w:rPr>
          <w:kern w:val="0"/>
        </w:rPr>
        <w:t xml:space="preserve"> </w:t>
      </w:r>
      <w:r w:rsidR="00DA2F7A" w:rsidRPr="00DA2F7A">
        <w:rPr>
          <w:kern w:val="0"/>
        </w:rPr>
        <w:t>interim</w:t>
      </w:r>
      <w:r w:rsidR="00214B2D">
        <w:rPr>
          <w:kern w:val="0"/>
        </w:rPr>
        <w:t xml:space="preserve"> results</w:t>
      </w:r>
      <w:r>
        <w:rPr>
          <w:kern w:val="0"/>
        </w:rPr>
        <w:t xml:space="preserve"> of the Group for the </w:t>
      </w:r>
      <w:r w:rsidR="00137CA1">
        <w:rPr>
          <w:kern w:val="0"/>
        </w:rPr>
        <w:t>six months ended 30 June 2026</w:t>
      </w:r>
      <w:r>
        <w:rPr>
          <w:kern w:val="0"/>
        </w:rPr>
        <w:t>. Hence, the information disclosed in this announcement only represents a preliminary assessment by the Board and the management of the Group based on the information currently available to the Board</w:t>
      </w:r>
      <w:r w:rsidR="00DA2F7A" w:rsidRPr="00DA2F7A">
        <w:rPr>
          <w:kern w:val="0"/>
        </w:rPr>
        <w:t>, which has not been audited or reviewed by the Company’s independent</w:t>
      </w:r>
    </w:p>
    <w:p w14:paraId="07C78D2A" w14:textId="77777777" w:rsidR="00DA2F7A" w:rsidRPr="00DA2F7A" w:rsidRDefault="00DA2F7A" w:rsidP="00DA2F7A">
      <w:pPr>
        <w:adjustRightInd w:val="0"/>
        <w:snapToGrid w:val="0"/>
        <w:jc w:val="both"/>
        <w:rPr>
          <w:kern w:val="0"/>
        </w:rPr>
      </w:pPr>
      <w:r w:rsidRPr="00DA2F7A">
        <w:rPr>
          <w:kern w:val="0"/>
        </w:rPr>
        <w:t>auditor. The interim results of the Group may be subject to adjustments following further review</w:t>
      </w:r>
    </w:p>
    <w:p w14:paraId="5CBA881E" w14:textId="0D7F3CE8" w:rsidR="00980261" w:rsidRDefault="00DA2F7A" w:rsidP="00DA2F7A">
      <w:pPr>
        <w:adjustRightInd w:val="0"/>
        <w:snapToGrid w:val="0"/>
        <w:jc w:val="both"/>
        <w:rPr>
          <w:kern w:val="0"/>
        </w:rPr>
      </w:pPr>
      <w:r w:rsidRPr="00DA2F7A">
        <w:rPr>
          <w:kern w:val="0"/>
        </w:rPr>
        <w:t>by the Board and the Company’s Audit Committee.</w:t>
      </w:r>
    </w:p>
    <w:p w14:paraId="364106F4" w14:textId="77777777" w:rsidR="000848D1" w:rsidRPr="00551C81" w:rsidRDefault="000848D1">
      <w:pPr>
        <w:adjustRightInd w:val="0"/>
        <w:snapToGrid w:val="0"/>
        <w:jc w:val="both"/>
        <w:rPr>
          <w:kern w:val="0"/>
        </w:rPr>
      </w:pPr>
    </w:p>
    <w:p w14:paraId="77B48AB1" w14:textId="120AEEDB" w:rsidR="000F0D27" w:rsidRDefault="00854D01" w:rsidP="00A2117B">
      <w:pPr>
        <w:adjustRightInd w:val="0"/>
        <w:snapToGrid w:val="0"/>
        <w:ind w:right="-2"/>
        <w:jc w:val="both"/>
        <w:rPr>
          <w:kern w:val="0"/>
        </w:rPr>
      </w:pPr>
      <w:r>
        <w:rPr>
          <w:kern w:val="0"/>
        </w:rPr>
        <w:t>Shareholders and potential investor</w:t>
      </w:r>
      <w:r w:rsidR="00AB0E44">
        <w:rPr>
          <w:kern w:val="0"/>
        </w:rPr>
        <w:t>s</w:t>
      </w:r>
      <w:r>
        <w:rPr>
          <w:kern w:val="0"/>
        </w:rPr>
        <w:t xml:space="preserve"> are advised to read carefully</w:t>
      </w:r>
      <w:r w:rsidR="002E5160">
        <w:rPr>
          <w:kern w:val="0"/>
        </w:rPr>
        <w:t xml:space="preserve"> the announcement of the</w:t>
      </w:r>
      <w:r>
        <w:rPr>
          <w:kern w:val="0"/>
        </w:rPr>
        <w:t xml:space="preserve"> </w:t>
      </w:r>
      <w:r w:rsidR="00DA2F7A">
        <w:rPr>
          <w:rFonts w:hint="eastAsia"/>
          <w:kern w:val="0"/>
        </w:rPr>
        <w:t>un</w:t>
      </w:r>
      <w:r>
        <w:rPr>
          <w:kern w:val="0"/>
        </w:rPr>
        <w:t xml:space="preserve">audited </w:t>
      </w:r>
      <w:r w:rsidR="00DA2F7A" w:rsidRPr="00DA2F7A">
        <w:rPr>
          <w:kern w:val="0"/>
        </w:rPr>
        <w:t>interim</w:t>
      </w:r>
      <w:r w:rsidR="00214B2D">
        <w:rPr>
          <w:kern w:val="0"/>
        </w:rPr>
        <w:t xml:space="preserve"> results</w:t>
      </w:r>
      <w:r w:rsidR="002E5160">
        <w:rPr>
          <w:kern w:val="0"/>
        </w:rPr>
        <w:t xml:space="preserve"> of the Group for the </w:t>
      </w:r>
      <w:r w:rsidR="00137CA1">
        <w:rPr>
          <w:kern w:val="0"/>
        </w:rPr>
        <w:t>six months ended 30 June 2026</w:t>
      </w:r>
      <w:r>
        <w:rPr>
          <w:kern w:val="0"/>
        </w:rPr>
        <w:t xml:space="preserve">, which is expected to </w:t>
      </w:r>
      <w:r w:rsidR="002E5160">
        <w:rPr>
          <w:kern w:val="0"/>
        </w:rPr>
        <w:t xml:space="preserve">be published before the end of </w:t>
      </w:r>
      <w:r w:rsidR="00DA2F7A">
        <w:rPr>
          <w:rFonts w:hint="eastAsia"/>
          <w:kern w:val="0"/>
        </w:rPr>
        <w:t>August</w:t>
      </w:r>
      <w:r w:rsidR="00551C81">
        <w:rPr>
          <w:kern w:val="0"/>
        </w:rPr>
        <w:t xml:space="preserve"> 202</w:t>
      </w:r>
      <w:r w:rsidR="00445E3F">
        <w:rPr>
          <w:rFonts w:hint="eastAsia"/>
          <w:kern w:val="0"/>
        </w:rPr>
        <w:t>6</w:t>
      </w:r>
      <w:r w:rsidR="00584151">
        <w:rPr>
          <w:kern w:val="0"/>
        </w:rPr>
        <w:t xml:space="preserve"> pursuant to the requirements of the Listing Rules</w:t>
      </w:r>
      <w:r w:rsidR="002E5160">
        <w:rPr>
          <w:kern w:val="0"/>
        </w:rPr>
        <w:t>.</w:t>
      </w:r>
    </w:p>
    <w:p w14:paraId="64399026" w14:textId="77777777" w:rsidR="000848D1" w:rsidRPr="00551C81" w:rsidRDefault="000848D1">
      <w:pPr>
        <w:adjustRightInd w:val="0"/>
        <w:snapToGrid w:val="0"/>
        <w:jc w:val="both"/>
        <w:rPr>
          <w:kern w:val="0"/>
        </w:rPr>
      </w:pPr>
    </w:p>
    <w:p w14:paraId="0F5BF8B8" w14:textId="1F869072" w:rsidR="000848D1" w:rsidRDefault="00BD72B1">
      <w:pPr>
        <w:adjustRightInd w:val="0"/>
        <w:snapToGrid w:val="0"/>
        <w:jc w:val="both"/>
      </w:pPr>
      <w:r>
        <w:rPr>
          <w:b/>
          <w:bCs/>
          <w:kern w:val="0"/>
        </w:rPr>
        <w:t>Shareholders and potential investors are advised to exercise</w:t>
      </w:r>
      <w:r>
        <w:rPr>
          <w:rFonts w:hint="eastAsia"/>
          <w:b/>
          <w:bCs/>
          <w:kern w:val="0"/>
        </w:rPr>
        <w:t xml:space="preserve"> </w:t>
      </w:r>
      <w:r>
        <w:rPr>
          <w:b/>
          <w:bCs/>
          <w:kern w:val="0"/>
        </w:rPr>
        <w:t>caution when dealings in the shares of the Company.</w:t>
      </w:r>
    </w:p>
    <w:p w14:paraId="5661686F" w14:textId="77777777" w:rsidR="000848D1" w:rsidRDefault="000848D1">
      <w:pPr>
        <w:adjustRightInd w:val="0"/>
        <w:snapToGrid w:val="0"/>
      </w:pPr>
    </w:p>
    <w:p w14:paraId="71F05000" w14:textId="77777777" w:rsidR="000848D1" w:rsidRDefault="000848D1">
      <w:pPr>
        <w:pStyle w:val="a5"/>
      </w:pPr>
    </w:p>
    <w:p w14:paraId="2B39FC7F" w14:textId="77777777" w:rsidR="000848D1" w:rsidRDefault="00BD72B1" w:rsidP="00E91EB9">
      <w:pPr>
        <w:pStyle w:val="a5"/>
        <w:tabs>
          <w:tab w:val="center" w:pos="7513"/>
        </w:tabs>
      </w:pPr>
      <w:r>
        <w:rPr>
          <w:rFonts w:hint="eastAsia"/>
        </w:rPr>
        <w:tab/>
        <w:t xml:space="preserve">By Order of </w:t>
      </w:r>
      <w:r>
        <w:t>the Board</w:t>
      </w:r>
    </w:p>
    <w:p w14:paraId="2ECE1C97" w14:textId="23106456" w:rsidR="001F5A3F" w:rsidRPr="001F5A3F" w:rsidRDefault="001F5A3F" w:rsidP="00E91EB9">
      <w:pPr>
        <w:pStyle w:val="a5"/>
        <w:tabs>
          <w:tab w:val="center" w:pos="7513"/>
        </w:tabs>
        <w:rPr>
          <w:rFonts w:hint="eastAsia"/>
          <w:b/>
          <w:bCs/>
        </w:rPr>
      </w:pPr>
      <w:r>
        <w:tab/>
      </w:r>
      <w:r w:rsidRPr="001F5A3F">
        <w:rPr>
          <w:b/>
          <w:bCs/>
        </w:rPr>
        <w:t>Lung Kee Group Holdings Limited</w:t>
      </w:r>
    </w:p>
    <w:p w14:paraId="6A986E93" w14:textId="77777777" w:rsidR="000848D1" w:rsidRDefault="00BD72B1" w:rsidP="00E91EB9">
      <w:pPr>
        <w:pStyle w:val="a5"/>
        <w:tabs>
          <w:tab w:val="center" w:pos="7513"/>
        </w:tabs>
        <w:rPr>
          <w:b/>
          <w:bCs/>
        </w:rPr>
      </w:pPr>
      <w:r>
        <w:rPr>
          <w:rFonts w:hint="eastAsia"/>
        </w:rPr>
        <w:tab/>
      </w:r>
      <w:r>
        <w:rPr>
          <w:b/>
          <w:bCs/>
        </w:rPr>
        <w:t>Wai Lung Shing</w:t>
      </w:r>
    </w:p>
    <w:p w14:paraId="74D6E074" w14:textId="77777777" w:rsidR="000848D1" w:rsidRDefault="00BD72B1" w:rsidP="00E91EB9">
      <w:pPr>
        <w:pStyle w:val="a5"/>
        <w:tabs>
          <w:tab w:val="center" w:pos="7513"/>
        </w:tabs>
        <w:rPr>
          <w:rFonts w:eastAsia="MPFLD C+ Adv P 640 E"/>
          <w:i/>
          <w:iCs/>
        </w:rPr>
      </w:pPr>
      <w:r>
        <w:rPr>
          <w:rFonts w:hint="eastAsia"/>
        </w:rPr>
        <w:tab/>
      </w:r>
      <w:r>
        <w:rPr>
          <w:rFonts w:eastAsia="MPFLD C+ Adv P 640 E"/>
          <w:i/>
          <w:iCs/>
        </w:rPr>
        <w:t>Director</w:t>
      </w:r>
      <w:r>
        <w:rPr>
          <w:rFonts w:eastAsia="MPFLD C+ Adv P 640 E" w:hint="eastAsia"/>
          <w:i/>
          <w:iCs/>
        </w:rPr>
        <w:t xml:space="preserve"> and Company Secretary</w:t>
      </w:r>
    </w:p>
    <w:p w14:paraId="726DC749" w14:textId="77777777" w:rsidR="000848D1" w:rsidRDefault="000848D1">
      <w:pPr>
        <w:pStyle w:val="a5"/>
        <w:tabs>
          <w:tab w:val="center" w:pos="7920"/>
        </w:tabs>
        <w:rPr>
          <w:rFonts w:eastAsia="MPFLD C+ Adv P 640 E"/>
        </w:rPr>
      </w:pPr>
    </w:p>
    <w:p w14:paraId="0BBD3B32" w14:textId="77777777" w:rsidR="00C5793F" w:rsidRPr="00C5793F" w:rsidRDefault="00C5793F">
      <w:pPr>
        <w:pStyle w:val="a5"/>
        <w:tabs>
          <w:tab w:val="center" w:pos="7920"/>
        </w:tabs>
        <w:rPr>
          <w:rFonts w:eastAsia="MPFLD C+ Adv P 640 E"/>
        </w:rPr>
      </w:pPr>
    </w:p>
    <w:p w14:paraId="7883332D" w14:textId="6AD6EE34" w:rsidR="000848D1" w:rsidRDefault="00BD72B1">
      <w:pPr>
        <w:pStyle w:val="a5"/>
        <w:tabs>
          <w:tab w:val="center" w:pos="7920"/>
        </w:tabs>
      </w:pPr>
      <w:r w:rsidRPr="00A6421B">
        <w:t>Hong</w:t>
      </w:r>
      <w:r w:rsidRPr="00A6421B">
        <w:rPr>
          <w:rFonts w:hint="eastAsia"/>
        </w:rPr>
        <w:t xml:space="preserve"> </w:t>
      </w:r>
      <w:r w:rsidRPr="00A6421B">
        <w:t>Kong</w:t>
      </w:r>
      <w:r w:rsidR="00335568">
        <w:t>, China</w:t>
      </w:r>
      <w:r w:rsidRPr="00A6421B">
        <w:t>,</w:t>
      </w:r>
      <w:r w:rsidRPr="00A6421B">
        <w:rPr>
          <w:rFonts w:hint="eastAsia"/>
        </w:rPr>
        <w:t xml:space="preserve"> </w:t>
      </w:r>
      <w:r w:rsidR="00DA2F7A">
        <w:rPr>
          <w:rFonts w:hint="eastAsia"/>
        </w:rPr>
        <w:t>7</w:t>
      </w:r>
      <w:r w:rsidR="000C2AC2">
        <w:t xml:space="preserve"> J</w:t>
      </w:r>
      <w:r w:rsidR="00DA2F7A">
        <w:rPr>
          <w:rFonts w:hint="eastAsia"/>
        </w:rPr>
        <w:t>ul</w:t>
      </w:r>
      <w:r w:rsidR="00551C81">
        <w:t xml:space="preserve">y </w:t>
      </w:r>
      <w:r w:rsidR="000057BD">
        <w:t>202</w:t>
      </w:r>
      <w:r w:rsidR="00445E3F">
        <w:rPr>
          <w:rFonts w:hint="eastAsia"/>
        </w:rPr>
        <w:t>6</w:t>
      </w:r>
    </w:p>
    <w:p w14:paraId="5C4F48B2" w14:textId="77777777" w:rsidR="000848D1" w:rsidRDefault="000848D1">
      <w:pPr>
        <w:pStyle w:val="a5"/>
        <w:tabs>
          <w:tab w:val="center" w:pos="7920"/>
        </w:tabs>
      </w:pPr>
    </w:p>
    <w:p w14:paraId="68A4BE89" w14:textId="77777777" w:rsidR="000848D1" w:rsidRDefault="000848D1">
      <w:pPr>
        <w:pStyle w:val="a5"/>
        <w:tabs>
          <w:tab w:val="center" w:pos="7920"/>
        </w:tabs>
      </w:pPr>
    </w:p>
    <w:p w14:paraId="132E80DD" w14:textId="6750BDEA" w:rsidR="000848D1" w:rsidRDefault="00BD72B1">
      <w:pPr>
        <w:pStyle w:val="a5"/>
        <w:tabs>
          <w:tab w:val="center" w:pos="7920"/>
        </w:tabs>
        <w:rPr>
          <w:rFonts w:eastAsia="MPFLD C+ Adv P 640 E"/>
          <w:i/>
          <w:iCs/>
          <w:sz w:val="20"/>
          <w:szCs w:val="18"/>
        </w:rPr>
      </w:pPr>
      <w:r>
        <w:rPr>
          <w:rFonts w:eastAsia="MPFLD C+ Adv P 640 E"/>
          <w:i/>
          <w:iCs/>
          <w:sz w:val="20"/>
          <w:szCs w:val="18"/>
        </w:rPr>
        <w:t>As</w:t>
      </w:r>
      <w:r>
        <w:rPr>
          <w:rFonts w:eastAsia="MPFLD C+ Adv P 640 E" w:hint="eastAsia"/>
          <w:i/>
          <w:iCs/>
          <w:sz w:val="20"/>
          <w:szCs w:val="18"/>
        </w:rPr>
        <w:t xml:space="preserve"> </w:t>
      </w:r>
      <w:r>
        <w:rPr>
          <w:rFonts w:eastAsia="MPFLD C+ Adv P 640 E"/>
          <w:i/>
          <w:iCs/>
          <w:sz w:val="20"/>
          <w:szCs w:val="18"/>
        </w:rPr>
        <w:t>at</w:t>
      </w:r>
      <w:r>
        <w:rPr>
          <w:rFonts w:eastAsia="MPFLD C+ Adv P 640 E" w:hint="eastAsia"/>
          <w:i/>
          <w:iCs/>
          <w:sz w:val="20"/>
          <w:szCs w:val="18"/>
        </w:rPr>
        <w:t xml:space="preserve"> </w:t>
      </w:r>
      <w:r>
        <w:rPr>
          <w:rFonts w:eastAsia="MPFLD C+ Adv P 640 E"/>
          <w:i/>
          <w:iCs/>
          <w:sz w:val="20"/>
          <w:szCs w:val="18"/>
        </w:rPr>
        <w:t>the</w:t>
      </w:r>
      <w:r>
        <w:rPr>
          <w:rFonts w:eastAsia="MPFLD C+ Adv P 640 E" w:hint="eastAsia"/>
          <w:i/>
          <w:iCs/>
          <w:sz w:val="20"/>
          <w:szCs w:val="18"/>
        </w:rPr>
        <w:t xml:space="preserve"> </w:t>
      </w:r>
      <w:r>
        <w:rPr>
          <w:rFonts w:eastAsia="MPFLD C+ Adv P 640 E"/>
          <w:i/>
          <w:iCs/>
          <w:sz w:val="20"/>
          <w:szCs w:val="18"/>
        </w:rPr>
        <w:t>date</w:t>
      </w:r>
      <w:r>
        <w:rPr>
          <w:rFonts w:eastAsia="MPFLD C+ Adv P 640 E" w:hint="eastAsia"/>
          <w:i/>
          <w:iCs/>
          <w:sz w:val="20"/>
          <w:szCs w:val="18"/>
        </w:rPr>
        <w:t xml:space="preserve"> </w:t>
      </w:r>
      <w:r>
        <w:rPr>
          <w:rFonts w:eastAsia="MPFLD C+ Adv P 640 E"/>
          <w:i/>
          <w:iCs/>
          <w:sz w:val="20"/>
          <w:szCs w:val="18"/>
        </w:rPr>
        <w:t>of</w:t>
      </w:r>
      <w:r>
        <w:rPr>
          <w:rFonts w:eastAsia="MPFLD C+ Adv P 640 E" w:hint="eastAsia"/>
          <w:i/>
          <w:iCs/>
          <w:sz w:val="20"/>
          <w:szCs w:val="18"/>
        </w:rPr>
        <w:t xml:space="preserve"> </w:t>
      </w:r>
      <w:r>
        <w:rPr>
          <w:rFonts w:eastAsia="MPFLD C+ Adv P 640 E"/>
          <w:i/>
          <w:iCs/>
          <w:sz w:val="20"/>
          <w:szCs w:val="18"/>
        </w:rPr>
        <w:t>this</w:t>
      </w:r>
      <w:r>
        <w:rPr>
          <w:rFonts w:eastAsia="MPFLD C+ Adv P 640 E" w:hint="eastAsia"/>
          <w:i/>
          <w:iCs/>
          <w:sz w:val="20"/>
          <w:szCs w:val="18"/>
        </w:rPr>
        <w:t xml:space="preserve"> </w:t>
      </w:r>
      <w:r>
        <w:rPr>
          <w:rFonts w:eastAsia="MPFLD C+ Adv P 640 E"/>
          <w:i/>
          <w:iCs/>
          <w:sz w:val="20"/>
          <w:szCs w:val="18"/>
        </w:rPr>
        <w:t>announcement,</w:t>
      </w:r>
      <w:r>
        <w:rPr>
          <w:rFonts w:eastAsia="MPFLD C+ Adv P 640 E" w:hint="eastAsia"/>
          <w:i/>
          <w:iCs/>
          <w:sz w:val="20"/>
          <w:szCs w:val="18"/>
        </w:rPr>
        <w:t xml:space="preserve"> </w:t>
      </w:r>
      <w:r>
        <w:rPr>
          <w:rFonts w:eastAsia="MPFLD C+ Adv P 640 E"/>
          <w:i/>
          <w:iCs/>
          <w:sz w:val="20"/>
          <w:szCs w:val="18"/>
        </w:rPr>
        <w:t>the</w:t>
      </w:r>
      <w:r>
        <w:rPr>
          <w:rFonts w:eastAsia="MPFLD C+ Adv P 640 E" w:hint="eastAsia"/>
          <w:i/>
          <w:iCs/>
          <w:sz w:val="20"/>
          <w:szCs w:val="18"/>
        </w:rPr>
        <w:t xml:space="preserve"> </w:t>
      </w:r>
      <w:r>
        <w:rPr>
          <w:rFonts w:eastAsia="MPFLD C+ Adv P 640 E"/>
          <w:i/>
          <w:iCs/>
          <w:sz w:val="20"/>
          <w:szCs w:val="18"/>
        </w:rPr>
        <w:t>executive</w:t>
      </w:r>
      <w:r>
        <w:rPr>
          <w:rFonts w:eastAsia="MPFLD C+ Adv P 640 E" w:hint="eastAsia"/>
          <w:i/>
          <w:iCs/>
          <w:sz w:val="20"/>
          <w:szCs w:val="18"/>
        </w:rPr>
        <w:t xml:space="preserve"> </w:t>
      </w:r>
      <w:r>
        <w:rPr>
          <w:rFonts w:eastAsia="MPFLD C+ Adv P 640 E"/>
          <w:i/>
          <w:iCs/>
          <w:sz w:val="20"/>
          <w:szCs w:val="18"/>
        </w:rPr>
        <w:t>directors</w:t>
      </w:r>
      <w:r>
        <w:rPr>
          <w:rFonts w:eastAsia="MPFLD C+ Adv P 640 E" w:hint="eastAsia"/>
          <w:i/>
          <w:iCs/>
          <w:sz w:val="20"/>
          <w:szCs w:val="18"/>
        </w:rPr>
        <w:t xml:space="preserve"> </w:t>
      </w:r>
      <w:r>
        <w:rPr>
          <w:rFonts w:eastAsia="MPFLD C+ Adv P 640 E"/>
          <w:i/>
          <w:iCs/>
          <w:sz w:val="20"/>
          <w:szCs w:val="18"/>
        </w:rPr>
        <w:t>of</w:t>
      </w:r>
      <w:r>
        <w:rPr>
          <w:rFonts w:eastAsia="MPFLD C+ Adv P 640 E" w:hint="eastAsia"/>
          <w:i/>
          <w:iCs/>
          <w:sz w:val="20"/>
          <w:szCs w:val="18"/>
        </w:rPr>
        <w:t xml:space="preserve"> </w:t>
      </w:r>
      <w:r>
        <w:rPr>
          <w:rFonts w:eastAsia="MPFLD C+ Adv P 640 E"/>
          <w:i/>
          <w:iCs/>
          <w:sz w:val="20"/>
          <w:szCs w:val="18"/>
        </w:rPr>
        <w:t>the</w:t>
      </w:r>
      <w:r>
        <w:rPr>
          <w:rFonts w:eastAsia="MPFLD C+ Adv P 640 E" w:hint="eastAsia"/>
          <w:i/>
          <w:iCs/>
          <w:sz w:val="20"/>
          <w:szCs w:val="18"/>
        </w:rPr>
        <w:t xml:space="preserve"> </w:t>
      </w:r>
      <w:r>
        <w:rPr>
          <w:rFonts w:eastAsia="MPFLD C+ Adv P 640 E"/>
          <w:i/>
          <w:iCs/>
          <w:sz w:val="20"/>
          <w:szCs w:val="18"/>
        </w:rPr>
        <w:t>Company</w:t>
      </w:r>
      <w:r>
        <w:rPr>
          <w:rFonts w:eastAsia="MPFLD C+ Adv P 640 E" w:hint="eastAsia"/>
          <w:i/>
          <w:iCs/>
          <w:sz w:val="20"/>
          <w:szCs w:val="18"/>
        </w:rPr>
        <w:t xml:space="preserve"> </w:t>
      </w:r>
      <w:r>
        <w:rPr>
          <w:rFonts w:eastAsia="MPFLD C+ Adv P 640 E"/>
          <w:i/>
          <w:iCs/>
          <w:sz w:val="20"/>
          <w:szCs w:val="18"/>
        </w:rPr>
        <w:t>are</w:t>
      </w:r>
      <w:r>
        <w:rPr>
          <w:rFonts w:eastAsia="MPFLD C+ Adv P 640 E" w:hint="eastAsia"/>
          <w:i/>
          <w:iCs/>
          <w:sz w:val="20"/>
          <w:szCs w:val="18"/>
        </w:rPr>
        <w:t xml:space="preserve"> </w:t>
      </w:r>
      <w:r>
        <w:rPr>
          <w:rFonts w:eastAsia="MPFLD C+ Adv P 640 E"/>
          <w:i/>
          <w:iCs/>
          <w:sz w:val="20"/>
          <w:szCs w:val="18"/>
        </w:rPr>
        <w:t>Mr.</w:t>
      </w:r>
      <w:r>
        <w:rPr>
          <w:rFonts w:eastAsia="MPFLD C+ Adv P 640 E" w:hint="eastAsia"/>
          <w:i/>
          <w:iCs/>
          <w:sz w:val="20"/>
          <w:szCs w:val="18"/>
        </w:rPr>
        <w:t xml:space="preserve"> </w:t>
      </w:r>
      <w:r>
        <w:rPr>
          <w:rFonts w:eastAsia="MPFLD C+ Adv P 640 E"/>
          <w:i/>
          <w:iCs/>
          <w:sz w:val="20"/>
          <w:szCs w:val="18"/>
        </w:rPr>
        <w:t>Siu</w:t>
      </w:r>
      <w:r>
        <w:rPr>
          <w:rFonts w:eastAsia="MPFLD C+ Adv P 640 E" w:hint="eastAsia"/>
          <w:i/>
          <w:iCs/>
          <w:sz w:val="20"/>
          <w:szCs w:val="18"/>
        </w:rPr>
        <w:t xml:space="preserve"> </w:t>
      </w:r>
      <w:r>
        <w:rPr>
          <w:rFonts w:eastAsia="MPFLD C+ Adv P 640 E"/>
          <w:i/>
          <w:iCs/>
          <w:sz w:val="20"/>
          <w:szCs w:val="18"/>
        </w:rPr>
        <w:t>Tit</w:t>
      </w:r>
      <w:r>
        <w:rPr>
          <w:rFonts w:eastAsia="MPFLD C+ Adv P 640 E" w:hint="eastAsia"/>
          <w:i/>
          <w:iCs/>
          <w:sz w:val="20"/>
          <w:szCs w:val="18"/>
        </w:rPr>
        <w:t xml:space="preserve"> </w:t>
      </w:r>
      <w:r>
        <w:rPr>
          <w:rFonts w:eastAsia="MPFLD C+ Adv P 640 E"/>
          <w:i/>
          <w:iCs/>
          <w:sz w:val="20"/>
          <w:szCs w:val="18"/>
        </w:rPr>
        <w:t>Lung</w:t>
      </w:r>
      <w:r>
        <w:rPr>
          <w:rFonts w:eastAsia="MPFLD C+ Adv P 640 E" w:hint="eastAsia"/>
          <w:i/>
          <w:iCs/>
          <w:sz w:val="20"/>
          <w:szCs w:val="18"/>
        </w:rPr>
        <w:t xml:space="preserve"> </w:t>
      </w:r>
      <w:r>
        <w:rPr>
          <w:rFonts w:eastAsia="MPFLD C+ Adv P 640 E"/>
          <w:i/>
          <w:iCs/>
          <w:sz w:val="20"/>
          <w:szCs w:val="18"/>
        </w:rPr>
        <w:t>(Chairman),</w:t>
      </w:r>
      <w:r>
        <w:rPr>
          <w:rFonts w:eastAsia="MPFLD C+ Adv P 640 E" w:hint="eastAsia"/>
          <w:i/>
          <w:iCs/>
          <w:sz w:val="20"/>
          <w:szCs w:val="18"/>
        </w:rPr>
        <w:t xml:space="preserve"> </w:t>
      </w:r>
      <w:r>
        <w:rPr>
          <w:rFonts w:eastAsia="MPFLD C+ Adv P 640 E"/>
          <w:i/>
          <w:iCs/>
          <w:sz w:val="20"/>
          <w:szCs w:val="18"/>
        </w:rPr>
        <w:t>Mr.</w:t>
      </w:r>
      <w:r>
        <w:rPr>
          <w:rFonts w:eastAsia="MPFLD C+ Adv P 640 E" w:hint="eastAsia"/>
          <w:i/>
          <w:iCs/>
          <w:sz w:val="20"/>
          <w:szCs w:val="18"/>
        </w:rPr>
        <w:t xml:space="preserve"> </w:t>
      </w:r>
      <w:r>
        <w:rPr>
          <w:rFonts w:eastAsia="MPFLD C+ Adv P 640 E"/>
          <w:i/>
          <w:iCs/>
          <w:sz w:val="20"/>
          <w:szCs w:val="18"/>
        </w:rPr>
        <w:t>Siu</w:t>
      </w:r>
      <w:r>
        <w:rPr>
          <w:rFonts w:eastAsia="MPFLD C+ Adv P 640 E" w:hint="eastAsia"/>
          <w:i/>
          <w:iCs/>
          <w:sz w:val="20"/>
          <w:szCs w:val="18"/>
        </w:rPr>
        <w:t xml:space="preserve"> </w:t>
      </w:r>
      <w:r>
        <w:rPr>
          <w:rFonts w:eastAsia="MPFLD C+ Adv P 640 E"/>
          <w:i/>
          <w:iCs/>
          <w:sz w:val="20"/>
          <w:szCs w:val="18"/>
        </w:rPr>
        <w:t>Yuk</w:t>
      </w:r>
      <w:r>
        <w:rPr>
          <w:rFonts w:eastAsia="MPFLD C+ Adv P 640 E" w:hint="eastAsia"/>
          <w:i/>
          <w:iCs/>
          <w:sz w:val="20"/>
          <w:szCs w:val="18"/>
        </w:rPr>
        <w:t xml:space="preserve"> </w:t>
      </w:r>
      <w:r>
        <w:rPr>
          <w:rFonts w:eastAsia="MPFLD C+ Adv P 640 E"/>
          <w:i/>
          <w:iCs/>
          <w:sz w:val="20"/>
          <w:szCs w:val="18"/>
        </w:rPr>
        <w:t>Lung,</w:t>
      </w:r>
      <w:r>
        <w:rPr>
          <w:rFonts w:eastAsia="MPFLD C+ Adv P 640 E" w:hint="eastAsia"/>
          <w:i/>
          <w:iCs/>
          <w:sz w:val="20"/>
          <w:szCs w:val="18"/>
        </w:rPr>
        <w:t xml:space="preserve"> </w:t>
      </w:r>
      <w:r>
        <w:rPr>
          <w:rFonts w:eastAsia="MPFLD C+ Adv P 640 E"/>
          <w:i/>
          <w:iCs/>
          <w:sz w:val="20"/>
          <w:szCs w:val="18"/>
        </w:rPr>
        <w:t>Mr.</w:t>
      </w:r>
      <w:r>
        <w:rPr>
          <w:rFonts w:eastAsia="MPFLD C+ Adv P 640 E" w:hint="eastAsia"/>
          <w:i/>
          <w:iCs/>
          <w:sz w:val="20"/>
          <w:szCs w:val="18"/>
        </w:rPr>
        <w:t xml:space="preserve"> </w:t>
      </w:r>
      <w:r>
        <w:rPr>
          <w:rFonts w:eastAsia="MPFLD C+ Adv P 640 E"/>
          <w:i/>
          <w:iCs/>
          <w:sz w:val="20"/>
          <w:szCs w:val="18"/>
        </w:rPr>
        <w:t>Wai</w:t>
      </w:r>
      <w:r>
        <w:rPr>
          <w:rFonts w:eastAsia="MPFLD C+ Adv P 640 E" w:hint="eastAsia"/>
          <w:i/>
          <w:iCs/>
          <w:sz w:val="20"/>
          <w:szCs w:val="18"/>
        </w:rPr>
        <w:t xml:space="preserve"> </w:t>
      </w:r>
      <w:r>
        <w:rPr>
          <w:rFonts w:eastAsia="MPFLD C+ Adv P 640 E"/>
          <w:i/>
          <w:iCs/>
          <w:sz w:val="20"/>
          <w:szCs w:val="18"/>
        </w:rPr>
        <w:t>Lung</w:t>
      </w:r>
      <w:r>
        <w:rPr>
          <w:rFonts w:eastAsia="MPFLD C+ Adv P 640 E" w:hint="eastAsia"/>
          <w:i/>
          <w:iCs/>
          <w:sz w:val="20"/>
          <w:szCs w:val="18"/>
        </w:rPr>
        <w:t xml:space="preserve"> </w:t>
      </w:r>
      <w:r>
        <w:rPr>
          <w:rFonts w:eastAsia="MPFLD C+ Adv P 640 E"/>
          <w:i/>
          <w:iCs/>
          <w:sz w:val="20"/>
          <w:szCs w:val="18"/>
        </w:rPr>
        <w:t>Shing</w:t>
      </w:r>
      <w:r>
        <w:rPr>
          <w:rFonts w:eastAsia="MPFLD C+ Adv P 640 E" w:hint="eastAsia"/>
          <w:i/>
          <w:iCs/>
          <w:sz w:val="20"/>
          <w:szCs w:val="18"/>
        </w:rPr>
        <w:t xml:space="preserve">, Mr. Ting Chung Ho, Mr. Siu Yuk Tung, Ivan and Mr. Siu Yu Hang, Leo; </w:t>
      </w:r>
      <w:r>
        <w:rPr>
          <w:rFonts w:eastAsia="MPFLD C+ Adv P 640 E"/>
          <w:i/>
          <w:iCs/>
          <w:sz w:val="20"/>
          <w:szCs w:val="18"/>
        </w:rPr>
        <w:t>and</w:t>
      </w:r>
      <w:r>
        <w:rPr>
          <w:rFonts w:eastAsia="MPFLD C+ Adv P 640 E" w:hint="eastAsia"/>
          <w:i/>
          <w:iCs/>
          <w:sz w:val="20"/>
          <w:szCs w:val="18"/>
        </w:rPr>
        <w:t xml:space="preserve"> </w:t>
      </w:r>
      <w:r>
        <w:rPr>
          <w:rFonts w:eastAsia="MPFLD C+ Adv P 640 E"/>
          <w:i/>
          <w:iCs/>
          <w:sz w:val="20"/>
          <w:szCs w:val="18"/>
        </w:rPr>
        <w:t>the</w:t>
      </w:r>
      <w:r>
        <w:rPr>
          <w:rFonts w:eastAsia="MPFLD C+ Adv P 640 E" w:hint="eastAsia"/>
          <w:i/>
          <w:iCs/>
          <w:sz w:val="20"/>
          <w:szCs w:val="18"/>
        </w:rPr>
        <w:t xml:space="preserve"> </w:t>
      </w:r>
      <w:r>
        <w:rPr>
          <w:rFonts w:eastAsia="MPFLD C+ Adv P 640 E"/>
          <w:i/>
          <w:iCs/>
          <w:sz w:val="20"/>
          <w:szCs w:val="18"/>
        </w:rPr>
        <w:t>independent</w:t>
      </w:r>
      <w:r>
        <w:rPr>
          <w:rFonts w:eastAsia="MPFLD C+ Adv P 640 E" w:hint="eastAsia"/>
          <w:i/>
          <w:iCs/>
          <w:sz w:val="20"/>
          <w:szCs w:val="18"/>
        </w:rPr>
        <w:t xml:space="preserve"> </w:t>
      </w:r>
      <w:r>
        <w:rPr>
          <w:rFonts w:eastAsia="MPFLD C+ Adv P 640 E"/>
          <w:i/>
          <w:iCs/>
          <w:sz w:val="20"/>
          <w:szCs w:val="18"/>
        </w:rPr>
        <w:t>non-executive</w:t>
      </w:r>
      <w:r>
        <w:rPr>
          <w:rFonts w:eastAsia="MPFLD C+ Adv P 640 E" w:hint="eastAsia"/>
          <w:i/>
          <w:iCs/>
          <w:sz w:val="20"/>
          <w:szCs w:val="18"/>
        </w:rPr>
        <w:t xml:space="preserve"> </w:t>
      </w:r>
      <w:r>
        <w:rPr>
          <w:rFonts w:eastAsia="MPFLD C+ Adv P 640 E"/>
          <w:i/>
          <w:iCs/>
          <w:sz w:val="20"/>
          <w:szCs w:val="18"/>
        </w:rPr>
        <w:t>directors</w:t>
      </w:r>
      <w:r>
        <w:rPr>
          <w:rFonts w:eastAsia="MPFLD C+ Adv P 640 E" w:hint="eastAsia"/>
          <w:i/>
          <w:iCs/>
          <w:sz w:val="20"/>
          <w:szCs w:val="18"/>
        </w:rPr>
        <w:t xml:space="preserve"> </w:t>
      </w:r>
      <w:r>
        <w:rPr>
          <w:rFonts w:eastAsia="MPFLD C+ Adv P 640 E"/>
          <w:i/>
          <w:iCs/>
          <w:sz w:val="20"/>
          <w:szCs w:val="18"/>
        </w:rPr>
        <w:t>of</w:t>
      </w:r>
      <w:r>
        <w:rPr>
          <w:rFonts w:eastAsia="MPFLD C+ Adv P 640 E" w:hint="eastAsia"/>
          <w:i/>
          <w:iCs/>
          <w:sz w:val="20"/>
          <w:szCs w:val="18"/>
        </w:rPr>
        <w:t xml:space="preserve"> </w:t>
      </w:r>
      <w:r>
        <w:rPr>
          <w:rFonts w:eastAsia="MPFLD C+ Adv P 640 E"/>
          <w:i/>
          <w:iCs/>
          <w:sz w:val="20"/>
          <w:szCs w:val="18"/>
        </w:rPr>
        <w:t>the</w:t>
      </w:r>
      <w:r>
        <w:rPr>
          <w:rFonts w:eastAsia="MPFLD C+ Adv P 640 E" w:hint="eastAsia"/>
          <w:i/>
          <w:iCs/>
          <w:sz w:val="20"/>
          <w:szCs w:val="18"/>
        </w:rPr>
        <w:t xml:space="preserve"> </w:t>
      </w:r>
      <w:r>
        <w:rPr>
          <w:rFonts w:eastAsia="MPFLD C+ Adv P 640 E"/>
          <w:i/>
          <w:iCs/>
          <w:sz w:val="20"/>
          <w:szCs w:val="18"/>
        </w:rPr>
        <w:t>Company</w:t>
      </w:r>
      <w:r>
        <w:rPr>
          <w:rFonts w:eastAsia="MPFLD C+ Adv P 640 E" w:hint="eastAsia"/>
          <w:i/>
          <w:iCs/>
          <w:sz w:val="20"/>
          <w:szCs w:val="18"/>
        </w:rPr>
        <w:t xml:space="preserve"> </w:t>
      </w:r>
      <w:r>
        <w:rPr>
          <w:rFonts w:eastAsia="MPFLD C+ Adv P 640 E"/>
          <w:i/>
          <w:iCs/>
          <w:sz w:val="20"/>
          <w:szCs w:val="18"/>
        </w:rPr>
        <w:t>are</w:t>
      </w:r>
      <w:r>
        <w:rPr>
          <w:rFonts w:eastAsia="MPFLD C+ Adv P 640 E" w:hint="eastAsia"/>
          <w:i/>
          <w:iCs/>
          <w:sz w:val="20"/>
          <w:szCs w:val="18"/>
        </w:rPr>
        <w:t xml:space="preserve"> </w:t>
      </w:r>
      <w:r>
        <w:rPr>
          <w:rFonts w:eastAsia="MPFLD C+ Adv P 640 E"/>
          <w:i/>
          <w:iCs/>
          <w:sz w:val="20"/>
          <w:szCs w:val="18"/>
        </w:rPr>
        <w:t>Dr.</w:t>
      </w:r>
      <w:r>
        <w:rPr>
          <w:rFonts w:eastAsia="MPFLD C+ Adv P 640 E" w:hint="eastAsia"/>
          <w:i/>
          <w:iCs/>
          <w:sz w:val="20"/>
          <w:szCs w:val="18"/>
        </w:rPr>
        <w:t xml:space="preserve"> </w:t>
      </w:r>
      <w:r>
        <w:rPr>
          <w:rFonts w:eastAsia="MPFLD C+ Adv P 640 E"/>
          <w:i/>
          <w:iCs/>
          <w:sz w:val="20"/>
          <w:szCs w:val="18"/>
        </w:rPr>
        <w:t>Lee</w:t>
      </w:r>
      <w:r>
        <w:rPr>
          <w:rFonts w:eastAsia="MPFLD C+ Adv P 640 E" w:hint="eastAsia"/>
          <w:i/>
          <w:iCs/>
          <w:sz w:val="20"/>
          <w:szCs w:val="18"/>
        </w:rPr>
        <w:t xml:space="preserve"> </w:t>
      </w:r>
      <w:r>
        <w:rPr>
          <w:rFonts w:eastAsia="MPFLD C+ Adv P 640 E"/>
          <w:i/>
          <w:iCs/>
          <w:sz w:val="20"/>
          <w:szCs w:val="18"/>
        </w:rPr>
        <w:t>Tat</w:t>
      </w:r>
      <w:r>
        <w:rPr>
          <w:rFonts w:eastAsia="MPFLD C+ Adv P 640 E" w:hint="eastAsia"/>
          <w:i/>
          <w:iCs/>
          <w:sz w:val="20"/>
          <w:szCs w:val="18"/>
        </w:rPr>
        <w:t xml:space="preserve"> </w:t>
      </w:r>
      <w:r>
        <w:rPr>
          <w:rFonts w:eastAsia="MPFLD C+ Adv P 640 E"/>
          <w:i/>
          <w:iCs/>
          <w:sz w:val="20"/>
          <w:szCs w:val="18"/>
        </w:rPr>
        <w:t>Yee</w:t>
      </w:r>
      <w:r w:rsidR="007A05EA">
        <w:rPr>
          <w:rFonts w:eastAsia="MPFLD C+ Adv P 640 E"/>
          <w:i/>
          <w:iCs/>
          <w:sz w:val="20"/>
          <w:szCs w:val="18"/>
        </w:rPr>
        <w:t>,</w:t>
      </w:r>
      <w:r>
        <w:rPr>
          <w:rFonts w:eastAsia="MPFLD C+ Adv P 640 E" w:hint="eastAsia"/>
          <w:i/>
          <w:iCs/>
          <w:sz w:val="20"/>
          <w:szCs w:val="18"/>
        </w:rPr>
        <w:t xml:space="preserve"> </w:t>
      </w:r>
      <w:r w:rsidR="007A05EA">
        <w:rPr>
          <w:rFonts w:eastAsia="MPFLD C+ Adv P 640 E"/>
          <w:i/>
          <w:iCs/>
          <w:sz w:val="20"/>
          <w:szCs w:val="18"/>
        </w:rPr>
        <w:t>Mr. Wong Hak Kun</w:t>
      </w:r>
      <w:r w:rsidR="00415F63">
        <w:rPr>
          <w:rFonts w:eastAsia="MPFLD C+ Adv P 640 E"/>
          <w:i/>
          <w:iCs/>
          <w:sz w:val="20"/>
          <w:szCs w:val="18"/>
        </w:rPr>
        <w:t xml:space="preserve"> and Ms. He Lamei</w:t>
      </w:r>
      <w:r>
        <w:rPr>
          <w:rFonts w:eastAsia="MPFLD C+ Adv P 640 E"/>
          <w:i/>
          <w:iCs/>
          <w:sz w:val="20"/>
          <w:szCs w:val="18"/>
        </w:rPr>
        <w:t>.</w:t>
      </w:r>
    </w:p>
    <w:p w14:paraId="7A1251C2" w14:textId="77777777" w:rsidR="000848D1" w:rsidRDefault="000848D1">
      <w:pPr>
        <w:pStyle w:val="a5"/>
        <w:tabs>
          <w:tab w:val="center" w:pos="7920"/>
        </w:tabs>
        <w:rPr>
          <w:rFonts w:eastAsia="MPFLD C+ Adv P 640 E"/>
          <w:i/>
          <w:iCs/>
          <w:sz w:val="20"/>
          <w:szCs w:val="18"/>
        </w:rPr>
      </w:pPr>
    </w:p>
    <w:sectPr w:rsidR="000848D1">
      <w:footerReference w:type="default" r:id="rId11"/>
      <w:pgSz w:w="11906" w:h="16838"/>
      <w:pgMar w:top="1418" w:right="1134" w:bottom="1134" w:left="1418" w:header="709"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6D6C" w14:textId="77777777" w:rsidR="00BF3608" w:rsidRDefault="00BF3608">
      <w:r>
        <w:separator/>
      </w:r>
    </w:p>
  </w:endnote>
  <w:endnote w:type="continuationSeparator" w:id="0">
    <w:p w14:paraId="11AA87A0" w14:textId="77777777" w:rsidR="00BF3608" w:rsidRDefault="00BF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PFLD C+ Adv P 640 E">
    <w:altName w:val="MingLiU"/>
    <w:panose1 w:val="00000000000000000000"/>
    <w:charset w:val="88"/>
    <w:family w:val="swiss"/>
    <w:notTrueType/>
    <w:pitch w:val="default"/>
    <w:sig w:usb0="00000001" w:usb1="08080000" w:usb2="00000010" w:usb3="00000000" w:csb0="00100000" w:csb1="00000000"/>
  </w:font>
  <w:font w:name="MPFLD D+ Adv P 641 C">
    <w:altName w:val="PMingLiU"/>
    <w:panose1 w:val="00000000000000000000"/>
    <w:charset w:val="88"/>
    <w:family w:val="roman"/>
    <w:notTrueType/>
    <w:pitch w:val="default"/>
    <w:sig w:usb0="00000001" w:usb1="08080000" w:usb2="00000010" w:usb3="00000000" w:csb0="00100000" w:csb1="00000000"/>
  </w:font>
  <w:font w:name="MPFLC C+ Adv P 6403">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5DDB" w14:textId="6303C9EC" w:rsidR="000848D1" w:rsidRDefault="005E6498">
    <w:pPr>
      <w:pStyle w:val="a4"/>
      <w:jc w:val="center"/>
      <w:rPr>
        <w:sz w:val="24"/>
      </w:rPr>
    </w:pPr>
    <w:r>
      <w:rPr>
        <w:rStyle w:val="a3"/>
        <w:sz w:val="24"/>
      </w:rPr>
      <w:t xml:space="preserve">- </w:t>
    </w:r>
    <w:r w:rsidR="00BD72B1">
      <w:rPr>
        <w:rStyle w:val="a3"/>
        <w:sz w:val="24"/>
      </w:rPr>
      <w:fldChar w:fldCharType="begin"/>
    </w:r>
    <w:r w:rsidR="00BD72B1">
      <w:rPr>
        <w:rStyle w:val="a3"/>
        <w:sz w:val="24"/>
      </w:rPr>
      <w:instrText xml:space="preserve"> PAGE </w:instrText>
    </w:r>
    <w:r w:rsidR="00BD72B1">
      <w:rPr>
        <w:rStyle w:val="a3"/>
        <w:sz w:val="24"/>
      </w:rPr>
      <w:fldChar w:fldCharType="separate"/>
    </w:r>
    <w:r w:rsidR="002E5160">
      <w:rPr>
        <w:rStyle w:val="a3"/>
        <w:noProof/>
        <w:sz w:val="24"/>
      </w:rPr>
      <w:t>2</w:t>
    </w:r>
    <w:r w:rsidR="00BD72B1">
      <w:rPr>
        <w:rStyle w:val="a3"/>
        <w:sz w:val="24"/>
      </w:rPr>
      <w:fldChar w:fldCharType="end"/>
    </w:r>
    <w:r>
      <w:rPr>
        <w:rStyle w:val="a3"/>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DBC6" w14:textId="77777777" w:rsidR="00BF3608" w:rsidRDefault="00BF3608">
      <w:r>
        <w:separator/>
      </w:r>
    </w:p>
  </w:footnote>
  <w:footnote w:type="continuationSeparator" w:id="0">
    <w:p w14:paraId="16BF1899" w14:textId="77777777" w:rsidR="00BF3608" w:rsidRDefault="00BF3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B1B"/>
    <w:multiLevelType w:val="hybridMultilevel"/>
    <w:tmpl w:val="2DF0971E"/>
    <w:lvl w:ilvl="0" w:tplc="81F4D022">
      <w:start w:val="9"/>
      <w:numFmt w:val="decimal"/>
      <w:lvlText w:val="%1."/>
      <w:lvlJc w:val="left"/>
      <w:pPr>
        <w:tabs>
          <w:tab w:val="num" w:pos="540"/>
        </w:tabs>
        <w:ind w:left="540" w:hanging="54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A56CD9"/>
    <w:multiLevelType w:val="hybridMultilevel"/>
    <w:tmpl w:val="F9083530"/>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0BD2B6F"/>
    <w:multiLevelType w:val="hybridMultilevel"/>
    <w:tmpl w:val="404AA338"/>
    <w:lvl w:ilvl="0" w:tplc="88E2D1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5638FE"/>
    <w:multiLevelType w:val="hybridMultilevel"/>
    <w:tmpl w:val="162C1752"/>
    <w:lvl w:ilvl="0" w:tplc="5D1A2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9F4334"/>
    <w:multiLevelType w:val="hybridMultilevel"/>
    <w:tmpl w:val="EC76EDDC"/>
    <w:lvl w:ilvl="0" w:tplc="5434ADEC">
      <w:start w:val="2"/>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74A2FF8"/>
    <w:multiLevelType w:val="hybridMultilevel"/>
    <w:tmpl w:val="4BD20F88"/>
    <w:lvl w:ilvl="0" w:tplc="0C5A39FE">
      <w:start w:val="1"/>
      <w:numFmt w:val="decimal"/>
      <w:lvlText w:val="%1."/>
      <w:lvlJc w:val="left"/>
      <w:pPr>
        <w:tabs>
          <w:tab w:val="num" w:pos="540"/>
        </w:tabs>
        <w:ind w:left="540" w:hanging="5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A736931"/>
    <w:multiLevelType w:val="hybridMultilevel"/>
    <w:tmpl w:val="94DC3828"/>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F5B1681"/>
    <w:multiLevelType w:val="hybridMultilevel"/>
    <w:tmpl w:val="290AEB1C"/>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D7A54C3"/>
    <w:multiLevelType w:val="hybridMultilevel"/>
    <w:tmpl w:val="039CB4A0"/>
    <w:lvl w:ilvl="0" w:tplc="2820D49C">
      <w:start w:val="10"/>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04A398C"/>
    <w:multiLevelType w:val="hybridMultilevel"/>
    <w:tmpl w:val="9D623AC8"/>
    <w:lvl w:ilvl="0" w:tplc="3AF8C4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091D3D"/>
    <w:multiLevelType w:val="hybridMultilevel"/>
    <w:tmpl w:val="C46E2C6E"/>
    <w:lvl w:ilvl="0" w:tplc="F628E996">
      <w:start w:val="2"/>
      <w:numFmt w:val="decimal"/>
      <w:lvlText w:val="(%1)"/>
      <w:lvlJc w:val="left"/>
      <w:pPr>
        <w:tabs>
          <w:tab w:val="num" w:pos="540"/>
        </w:tabs>
        <w:ind w:left="540" w:hanging="5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561093806">
    <w:abstractNumId w:val="4"/>
  </w:num>
  <w:num w:numId="2" w16cid:durableId="565726461">
    <w:abstractNumId w:val="0"/>
  </w:num>
  <w:num w:numId="3" w16cid:durableId="110245311">
    <w:abstractNumId w:val="5"/>
  </w:num>
  <w:num w:numId="4" w16cid:durableId="890774030">
    <w:abstractNumId w:val="8"/>
  </w:num>
  <w:num w:numId="5" w16cid:durableId="838235035">
    <w:abstractNumId w:val="6"/>
  </w:num>
  <w:num w:numId="6" w16cid:durableId="932667516">
    <w:abstractNumId w:val="7"/>
  </w:num>
  <w:num w:numId="7" w16cid:durableId="1713769588">
    <w:abstractNumId w:val="1"/>
  </w:num>
  <w:num w:numId="8" w16cid:durableId="2126150850">
    <w:abstractNumId w:val="10"/>
  </w:num>
  <w:num w:numId="9" w16cid:durableId="1526749524">
    <w:abstractNumId w:val="9"/>
  </w:num>
  <w:num w:numId="10" w16cid:durableId="253125363">
    <w:abstractNumId w:val="2"/>
  </w:num>
  <w:num w:numId="11" w16cid:durableId="1754358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B1"/>
    <w:rsid w:val="000057BD"/>
    <w:rsid w:val="00020757"/>
    <w:rsid w:val="00025B63"/>
    <w:rsid w:val="00025BB3"/>
    <w:rsid w:val="00061E9D"/>
    <w:rsid w:val="0006695F"/>
    <w:rsid w:val="00081056"/>
    <w:rsid w:val="000829A0"/>
    <w:rsid w:val="000848D1"/>
    <w:rsid w:val="000A73D2"/>
    <w:rsid w:val="000B0574"/>
    <w:rsid w:val="000B1808"/>
    <w:rsid w:val="000B5479"/>
    <w:rsid w:val="000C2AC2"/>
    <w:rsid w:val="000C30C2"/>
    <w:rsid w:val="000D382A"/>
    <w:rsid w:val="000E3A17"/>
    <w:rsid w:val="000F0160"/>
    <w:rsid w:val="000F0D27"/>
    <w:rsid w:val="0010036C"/>
    <w:rsid w:val="00101983"/>
    <w:rsid w:val="001022B1"/>
    <w:rsid w:val="00103B0D"/>
    <w:rsid w:val="00104A44"/>
    <w:rsid w:val="00105DCE"/>
    <w:rsid w:val="001126E4"/>
    <w:rsid w:val="0012282B"/>
    <w:rsid w:val="00125974"/>
    <w:rsid w:val="00127FED"/>
    <w:rsid w:val="001303BF"/>
    <w:rsid w:val="00135DA6"/>
    <w:rsid w:val="00137CA1"/>
    <w:rsid w:val="00137E0E"/>
    <w:rsid w:val="00141884"/>
    <w:rsid w:val="00153C73"/>
    <w:rsid w:val="00155EF8"/>
    <w:rsid w:val="00162714"/>
    <w:rsid w:val="00174239"/>
    <w:rsid w:val="0017639C"/>
    <w:rsid w:val="001A1D6E"/>
    <w:rsid w:val="001A3CE8"/>
    <w:rsid w:val="001C2EC9"/>
    <w:rsid w:val="001C3230"/>
    <w:rsid w:val="001C65C4"/>
    <w:rsid w:val="001D2356"/>
    <w:rsid w:val="001D4D04"/>
    <w:rsid w:val="001D4E9D"/>
    <w:rsid w:val="001F189B"/>
    <w:rsid w:val="001F4E60"/>
    <w:rsid w:val="001F5A3F"/>
    <w:rsid w:val="001F6767"/>
    <w:rsid w:val="0020170E"/>
    <w:rsid w:val="00204385"/>
    <w:rsid w:val="00212218"/>
    <w:rsid w:val="00214B2D"/>
    <w:rsid w:val="00215800"/>
    <w:rsid w:val="00221AEB"/>
    <w:rsid w:val="00237049"/>
    <w:rsid w:val="00252DE1"/>
    <w:rsid w:val="002530B6"/>
    <w:rsid w:val="00256B48"/>
    <w:rsid w:val="002616BA"/>
    <w:rsid w:val="00262617"/>
    <w:rsid w:val="00265E45"/>
    <w:rsid w:val="002814B8"/>
    <w:rsid w:val="00284079"/>
    <w:rsid w:val="00292E63"/>
    <w:rsid w:val="002973D3"/>
    <w:rsid w:val="002A30E7"/>
    <w:rsid w:val="002A3432"/>
    <w:rsid w:val="002A51A6"/>
    <w:rsid w:val="002B0505"/>
    <w:rsid w:val="002B3A1A"/>
    <w:rsid w:val="002D2000"/>
    <w:rsid w:val="002D42D2"/>
    <w:rsid w:val="002D48AE"/>
    <w:rsid w:val="002D6106"/>
    <w:rsid w:val="002E4DD5"/>
    <w:rsid w:val="002E5160"/>
    <w:rsid w:val="002F4A21"/>
    <w:rsid w:val="00304938"/>
    <w:rsid w:val="00311B10"/>
    <w:rsid w:val="00335568"/>
    <w:rsid w:val="0033578D"/>
    <w:rsid w:val="003444A6"/>
    <w:rsid w:val="003452F9"/>
    <w:rsid w:val="0034701F"/>
    <w:rsid w:val="003526AC"/>
    <w:rsid w:val="0035605D"/>
    <w:rsid w:val="003637EF"/>
    <w:rsid w:val="003655D2"/>
    <w:rsid w:val="003669EB"/>
    <w:rsid w:val="003834E5"/>
    <w:rsid w:val="00391563"/>
    <w:rsid w:val="003943FD"/>
    <w:rsid w:val="00395891"/>
    <w:rsid w:val="003A36FB"/>
    <w:rsid w:val="003C22D3"/>
    <w:rsid w:val="003C48C0"/>
    <w:rsid w:val="003D7131"/>
    <w:rsid w:val="003D7AB3"/>
    <w:rsid w:val="003E0C0F"/>
    <w:rsid w:val="003E0EB0"/>
    <w:rsid w:val="003E754D"/>
    <w:rsid w:val="004067B4"/>
    <w:rsid w:val="00415F63"/>
    <w:rsid w:val="00420BCE"/>
    <w:rsid w:val="00420F24"/>
    <w:rsid w:val="00426F5F"/>
    <w:rsid w:val="0043038D"/>
    <w:rsid w:val="00432ECB"/>
    <w:rsid w:val="00443597"/>
    <w:rsid w:val="00444161"/>
    <w:rsid w:val="00445E3F"/>
    <w:rsid w:val="00453D15"/>
    <w:rsid w:val="00457498"/>
    <w:rsid w:val="00467FBE"/>
    <w:rsid w:val="00491C93"/>
    <w:rsid w:val="004959CA"/>
    <w:rsid w:val="00497AA2"/>
    <w:rsid w:val="004B37F4"/>
    <w:rsid w:val="004C6BDB"/>
    <w:rsid w:val="004C7C20"/>
    <w:rsid w:val="004C7E76"/>
    <w:rsid w:val="004D1CB4"/>
    <w:rsid w:val="004D5A56"/>
    <w:rsid w:val="004D7ACE"/>
    <w:rsid w:val="004E052C"/>
    <w:rsid w:val="004E0CCA"/>
    <w:rsid w:val="004E7C3F"/>
    <w:rsid w:val="004F217D"/>
    <w:rsid w:val="0050578B"/>
    <w:rsid w:val="00532BFC"/>
    <w:rsid w:val="005356B7"/>
    <w:rsid w:val="00536F74"/>
    <w:rsid w:val="00544E02"/>
    <w:rsid w:val="00551C81"/>
    <w:rsid w:val="00553817"/>
    <w:rsid w:val="005563EC"/>
    <w:rsid w:val="005725BA"/>
    <w:rsid w:val="0057328A"/>
    <w:rsid w:val="0057498A"/>
    <w:rsid w:val="00584151"/>
    <w:rsid w:val="005941DB"/>
    <w:rsid w:val="005943B1"/>
    <w:rsid w:val="005A68AE"/>
    <w:rsid w:val="005E02AD"/>
    <w:rsid w:val="005E0C65"/>
    <w:rsid w:val="005E6498"/>
    <w:rsid w:val="005F1028"/>
    <w:rsid w:val="005F23E2"/>
    <w:rsid w:val="005F48F5"/>
    <w:rsid w:val="00611A71"/>
    <w:rsid w:val="00613EAB"/>
    <w:rsid w:val="00615BD2"/>
    <w:rsid w:val="00617919"/>
    <w:rsid w:val="00623C9F"/>
    <w:rsid w:val="00631256"/>
    <w:rsid w:val="00637344"/>
    <w:rsid w:val="0066475A"/>
    <w:rsid w:val="006740DE"/>
    <w:rsid w:val="006748F5"/>
    <w:rsid w:val="00674AB9"/>
    <w:rsid w:val="00686D0F"/>
    <w:rsid w:val="00687F41"/>
    <w:rsid w:val="006B1C59"/>
    <w:rsid w:val="006B617D"/>
    <w:rsid w:val="006B6BB4"/>
    <w:rsid w:val="006C46F2"/>
    <w:rsid w:val="006C6DA9"/>
    <w:rsid w:val="006D17A8"/>
    <w:rsid w:val="006D725A"/>
    <w:rsid w:val="006E2089"/>
    <w:rsid w:val="006E5881"/>
    <w:rsid w:val="006E5DBA"/>
    <w:rsid w:val="006E6F90"/>
    <w:rsid w:val="006F155B"/>
    <w:rsid w:val="006F47EE"/>
    <w:rsid w:val="00715D7B"/>
    <w:rsid w:val="00720F26"/>
    <w:rsid w:val="007276B4"/>
    <w:rsid w:val="00737360"/>
    <w:rsid w:val="00747052"/>
    <w:rsid w:val="007511DA"/>
    <w:rsid w:val="00763334"/>
    <w:rsid w:val="007704F8"/>
    <w:rsid w:val="0077268E"/>
    <w:rsid w:val="00777AD7"/>
    <w:rsid w:val="00780762"/>
    <w:rsid w:val="0078798A"/>
    <w:rsid w:val="0079454C"/>
    <w:rsid w:val="007A05EA"/>
    <w:rsid w:val="007A4E99"/>
    <w:rsid w:val="007A6563"/>
    <w:rsid w:val="007C5516"/>
    <w:rsid w:val="007C57AC"/>
    <w:rsid w:val="007D6854"/>
    <w:rsid w:val="007E5B31"/>
    <w:rsid w:val="007E67F3"/>
    <w:rsid w:val="007F6066"/>
    <w:rsid w:val="00802E24"/>
    <w:rsid w:val="008062BD"/>
    <w:rsid w:val="0081497F"/>
    <w:rsid w:val="0081588F"/>
    <w:rsid w:val="008242EB"/>
    <w:rsid w:val="0082469E"/>
    <w:rsid w:val="008352B5"/>
    <w:rsid w:val="00846900"/>
    <w:rsid w:val="00847C19"/>
    <w:rsid w:val="00854D01"/>
    <w:rsid w:val="00857845"/>
    <w:rsid w:val="0087189C"/>
    <w:rsid w:val="00872D72"/>
    <w:rsid w:val="00872DE5"/>
    <w:rsid w:val="0087657D"/>
    <w:rsid w:val="00877F63"/>
    <w:rsid w:val="00887B0D"/>
    <w:rsid w:val="00890827"/>
    <w:rsid w:val="00895322"/>
    <w:rsid w:val="008A0669"/>
    <w:rsid w:val="008A2968"/>
    <w:rsid w:val="008B0A1A"/>
    <w:rsid w:val="008B7444"/>
    <w:rsid w:val="008C5CDC"/>
    <w:rsid w:val="008D4EF5"/>
    <w:rsid w:val="008E0C6A"/>
    <w:rsid w:val="008E2C94"/>
    <w:rsid w:val="008E55D8"/>
    <w:rsid w:val="00910A36"/>
    <w:rsid w:val="009142FF"/>
    <w:rsid w:val="0091487C"/>
    <w:rsid w:val="00916026"/>
    <w:rsid w:val="0093293E"/>
    <w:rsid w:val="00943173"/>
    <w:rsid w:val="00944012"/>
    <w:rsid w:val="00950895"/>
    <w:rsid w:val="0095291E"/>
    <w:rsid w:val="0095469E"/>
    <w:rsid w:val="009574DF"/>
    <w:rsid w:val="00963368"/>
    <w:rsid w:val="0097020D"/>
    <w:rsid w:val="0097786E"/>
    <w:rsid w:val="00980261"/>
    <w:rsid w:val="009827C5"/>
    <w:rsid w:val="00984D83"/>
    <w:rsid w:val="00985A5D"/>
    <w:rsid w:val="00992F05"/>
    <w:rsid w:val="009952DF"/>
    <w:rsid w:val="009A3D5E"/>
    <w:rsid w:val="009B0B20"/>
    <w:rsid w:val="009C0AC2"/>
    <w:rsid w:val="009C5696"/>
    <w:rsid w:val="009D6B94"/>
    <w:rsid w:val="009E7096"/>
    <w:rsid w:val="00A0296A"/>
    <w:rsid w:val="00A02D6D"/>
    <w:rsid w:val="00A11AC8"/>
    <w:rsid w:val="00A2117B"/>
    <w:rsid w:val="00A33D45"/>
    <w:rsid w:val="00A40710"/>
    <w:rsid w:val="00A42623"/>
    <w:rsid w:val="00A44376"/>
    <w:rsid w:val="00A46DD0"/>
    <w:rsid w:val="00A6421B"/>
    <w:rsid w:val="00A73AF8"/>
    <w:rsid w:val="00A8034F"/>
    <w:rsid w:val="00A81DEF"/>
    <w:rsid w:val="00A867A8"/>
    <w:rsid w:val="00A86C52"/>
    <w:rsid w:val="00A93843"/>
    <w:rsid w:val="00A96C50"/>
    <w:rsid w:val="00AA4725"/>
    <w:rsid w:val="00AB0E44"/>
    <w:rsid w:val="00AB39BF"/>
    <w:rsid w:val="00AC5894"/>
    <w:rsid w:val="00AC62CD"/>
    <w:rsid w:val="00AC7380"/>
    <w:rsid w:val="00AE3E00"/>
    <w:rsid w:val="00AE4F73"/>
    <w:rsid w:val="00AF127D"/>
    <w:rsid w:val="00AF340B"/>
    <w:rsid w:val="00AF75A5"/>
    <w:rsid w:val="00AF766F"/>
    <w:rsid w:val="00B00713"/>
    <w:rsid w:val="00B055C6"/>
    <w:rsid w:val="00B05A90"/>
    <w:rsid w:val="00B27C98"/>
    <w:rsid w:val="00B564D6"/>
    <w:rsid w:val="00B56656"/>
    <w:rsid w:val="00B77245"/>
    <w:rsid w:val="00B856D7"/>
    <w:rsid w:val="00B93C5E"/>
    <w:rsid w:val="00BA4B20"/>
    <w:rsid w:val="00BA58BA"/>
    <w:rsid w:val="00BB0BF5"/>
    <w:rsid w:val="00BC0B7E"/>
    <w:rsid w:val="00BC1B99"/>
    <w:rsid w:val="00BC39FC"/>
    <w:rsid w:val="00BD13CD"/>
    <w:rsid w:val="00BD29C1"/>
    <w:rsid w:val="00BD60B5"/>
    <w:rsid w:val="00BD6807"/>
    <w:rsid w:val="00BD72B1"/>
    <w:rsid w:val="00BD7D72"/>
    <w:rsid w:val="00BE3512"/>
    <w:rsid w:val="00BE6F9A"/>
    <w:rsid w:val="00BE7B89"/>
    <w:rsid w:val="00BF3608"/>
    <w:rsid w:val="00C06A12"/>
    <w:rsid w:val="00C1762A"/>
    <w:rsid w:val="00C176CC"/>
    <w:rsid w:val="00C33FFF"/>
    <w:rsid w:val="00C5793F"/>
    <w:rsid w:val="00C65967"/>
    <w:rsid w:val="00CA143F"/>
    <w:rsid w:val="00CA162E"/>
    <w:rsid w:val="00CB3F11"/>
    <w:rsid w:val="00CB567C"/>
    <w:rsid w:val="00CC5A7F"/>
    <w:rsid w:val="00CC6576"/>
    <w:rsid w:val="00CE1ED5"/>
    <w:rsid w:val="00CE2FD5"/>
    <w:rsid w:val="00CE5E4F"/>
    <w:rsid w:val="00CE6E3B"/>
    <w:rsid w:val="00CF0C3B"/>
    <w:rsid w:val="00D172B2"/>
    <w:rsid w:val="00D30675"/>
    <w:rsid w:val="00D418F0"/>
    <w:rsid w:val="00D53CD8"/>
    <w:rsid w:val="00D5400A"/>
    <w:rsid w:val="00D63270"/>
    <w:rsid w:val="00D6700D"/>
    <w:rsid w:val="00D70CAF"/>
    <w:rsid w:val="00D72873"/>
    <w:rsid w:val="00D902F4"/>
    <w:rsid w:val="00D908BB"/>
    <w:rsid w:val="00DA0EE0"/>
    <w:rsid w:val="00DA2F7A"/>
    <w:rsid w:val="00DB2AEB"/>
    <w:rsid w:val="00DB6086"/>
    <w:rsid w:val="00DC330F"/>
    <w:rsid w:val="00DC45E2"/>
    <w:rsid w:val="00DC560F"/>
    <w:rsid w:val="00DD376C"/>
    <w:rsid w:val="00DD40A2"/>
    <w:rsid w:val="00DD4686"/>
    <w:rsid w:val="00DE01DB"/>
    <w:rsid w:val="00DF0556"/>
    <w:rsid w:val="00E012CB"/>
    <w:rsid w:val="00E12B21"/>
    <w:rsid w:val="00E17083"/>
    <w:rsid w:val="00E20F28"/>
    <w:rsid w:val="00E26CE9"/>
    <w:rsid w:val="00E41CFA"/>
    <w:rsid w:val="00E44B59"/>
    <w:rsid w:val="00E66ACF"/>
    <w:rsid w:val="00E74E2F"/>
    <w:rsid w:val="00E91EB9"/>
    <w:rsid w:val="00E92572"/>
    <w:rsid w:val="00EB1F88"/>
    <w:rsid w:val="00EB4EBD"/>
    <w:rsid w:val="00EB50E4"/>
    <w:rsid w:val="00EB51B4"/>
    <w:rsid w:val="00EB7A1E"/>
    <w:rsid w:val="00EC07E2"/>
    <w:rsid w:val="00EC6A9D"/>
    <w:rsid w:val="00ED1F2A"/>
    <w:rsid w:val="00EE7823"/>
    <w:rsid w:val="00EF4F23"/>
    <w:rsid w:val="00F0654C"/>
    <w:rsid w:val="00F06799"/>
    <w:rsid w:val="00F15901"/>
    <w:rsid w:val="00F2263A"/>
    <w:rsid w:val="00F22F43"/>
    <w:rsid w:val="00F24A9B"/>
    <w:rsid w:val="00F45C2C"/>
    <w:rsid w:val="00F533C7"/>
    <w:rsid w:val="00F54755"/>
    <w:rsid w:val="00F55EA6"/>
    <w:rsid w:val="00F7415A"/>
    <w:rsid w:val="00F83DA5"/>
    <w:rsid w:val="00F85874"/>
    <w:rsid w:val="00F8666C"/>
    <w:rsid w:val="00FA0920"/>
    <w:rsid w:val="00FB0F0D"/>
    <w:rsid w:val="00FC5BAD"/>
    <w:rsid w:val="00FD26DC"/>
    <w:rsid w:val="00FE07B4"/>
    <w:rsid w:val="00FE7F3C"/>
    <w:rsid w:val="00FF3B53"/>
    <w:rsid w:val="00FF7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DCD2B"/>
  <w15:chartTrackingRefBased/>
  <w15:docId w15:val="{46AF6CEE-6583-4067-928F-3B8393C3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jc w:val="center"/>
      <w:outlineLvl w:val="2"/>
    </w:pPr>
    <w:rPr>
      <w:rFonts w:eastAsia="MPFLD C+ Adv P 640 E"/>
      <w:i/>
      <w:iCs/>
      <w:color w:val="221E1F"/>
    </w:rPr>
  </w:style>
  <w:style w:type="paragraph" w:styleId="4">
    <w:name w:val="heading 4"/>
    <w:basedOn w:val="a"/>
    <w:next w:val="a"/>
    <w:qFormat/>
    <w:pPr>
      <w:keepNext/>
      <w:tabs>
        <w:tab w:val="left" w:pos="540"/>
      </w:tabs>
      <w:adjustRightInd w:val="0"/>
      <w:snapToGrid w:val="0"/>
      <w:jc w:val="both"/>
      <w:outlineLvl w:val="3"/>
    </w:pPr>
    <w:rPr>
      <w:rFonts w:eastAsia="MPFLD D+ Adv P 641 C"/>
      <w:b/>
      <w:bCs/>
      <w:color w:val="221E1F"/>
    </w:rPr>
  </w:style>
  <w:style w:type="paragraph" w:styleId="5">
    <w:name w:val="heading 5"/>
    <w:basedOn w:val="a"/>
    <w:next w:val="a"/>
    <w:qFormat/>
    <w:pPr>
      <w:keepNext/>
      <w:adjustRightInd w:val="0"/>
      <w:snapToGrid w:val="0"/>
      <w:ind w:left="178" w:rightChars="63" w:right="151" w:hangingChars="74" w:hanging="178"/>
      <w:jc w:val="both"/>
      <w:outlineLvl w:val="4"/>
    </w:pPr>
    <w:rPr>
      <w:b/>
      <w:bCs/>
    </w:rPr>
  </w:style>
  <w:style w:type="paragraph" w:styleId="6">
    <w:name w:val="heading 6"/>
    <w:basedOn w:val="a"/>
    <w:next w:val="a"/>
    <w:qFormat/>
    <w:pPr>
      <w:keepNext/>
      <w:adjustRightInd w:val="0"/>
      <w:snapToGrid w:val="0"/>
      <w:ind w:rightChars="63" w:right="151"/>
      <w:jc w:val="both"/>
      <w:outlineLvl w:val="5"/>
    </w:pPr>
    <w:rPr>
      <w:rFonts w:eastAsia="MPFLD D+ Adv P 641 C"/>
      <w:b/>
      <w:bCs/>
    </w:rPr>
  </w:style>
  <w:style w:type="paragraph" w:styleId="7">
    <w:name w:val="heading 7"/>
    <w:basedOn w:val="a"/>
    <w:next w:val="a"/>
    <w:qFormat/>
    <w:pPr>
      <w:keepNext/>
      <w:tabs>
        <w:tab w:val="left" w:pos="540"/>
      </w:tabs>
      <w:adjustRightInd w:val="0"/>
      <w:snapToGrid w:val="0"/>
      <w:ind w:left="631" w:hangingChars="225" w:hanging="631"/>
      <w:jc w:val="both"/>
      <w:outlineLvl w:val="6"/>
    </w:pPr>
    <w:rPr>
      <w:b/>
      <w:bCs/>
      <w:color w:val="221E1F"/>
      <w:sz w:val="28"/>
      <w:szCs w:val="28"/>
    </w:rPr>
  </w:style>
  <w:style w:type="paragraph" w:styleId="8">
    <w:name w:val="heading 8"/>
    <w:basedOn w:val="a"/>
    <w:next w:val="a"/>
    <w:qFormat/>
    <w:pPr>
      <w:keepNext/>
      <w:tabs>
        <w:tab w:val="left" w:pos="540"/>
      </w:tabs>
      <w:adjustRightInd w:val="0"/>
      <w:snapToGrid w:val="0"/>
      <w:ind w:left="541" w:hangingChars="225" w:hanging="541"/>
      <w:jc w:val="both"/>
      <w:outlineLvl w:val="7"/>
    </w:pPr>
    <w:rPr>
      <w:b/>
      <w:bCs/>
      <w:color w:val="221E1F"/>
      <w:szCs w:val="26"/>
    </w:rPr>
  </w:style>
  <w:style w:type="paragraph" w:styleId="9">
    <w:name w:val="heading 9"/>
    <w:basedOn w:val="a"/>
    <w:next w:val="a"/>
    <w:qFormat/>
    <w:pPr>
      <w:keepNext/>
      <w:tabs>
        <w:tab w:val="left" w:pos="284"/>
      </w:tabs>
      <w:adjustRightInd w:val="0"/>
      <w:snapToGrid w:val="0"/>
      <w:ind w:left="331" w:hangingChars="118" w:hanging="331"/>
      <w:outlineLvl w:val="8"/>
    </w:pPr>
    <w:rPr>
      <w:rFonts w:eastAsia="MPFLD D+ Adv P 641 C"/>
      <w:b/>
      <w:bCs/>
      <w:color w:val="221E1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MPFLC C+ Adv P 6403" w:eastAsia="MPFLC C+ Adv P 6403"/>
      <w:color w:val="000000"/>
      <w:sz w:val="24"/>
      <w:szCs w:val="24"/>
    </w:rPr>
  </w:style>
  <w:style w:type="paragraph" w:customStyle="1" w:styleId="CM1">
    <w:name w:val="CM1"/>
    <w:basedOn w:val="Default"/>
    <w:next w:val="Default"/>
    <w:rPr>
      <w:color w:val="auto"/>
      <w:sz w:val="20"/>
    </w:rPr>
  </w:style>
  <w:style w:type="paragraph" w:customStyle="1" w:styleId="CM14">
    <w:name w:val="CM14"/>
    <w:basedOn w:val="Default"/>
    <w:next w:val="Default"/>
    <w:pPr>
      <w:spacing w:after="60"/>
    </w:pPr>
    <w:rPr>
      <w:color w:val="auto"/>
      <w:sz w:val="20"/>
    </w:rPr>
  </w:style>
  <w:style w:type="paragraph" w:customStyle="1" w:styleId="CM15">
    <w:name w:val="CM15"/>
    <w:basedOn w:val="Default"/>
    <w:next w:val="Default"/>
    <w:pPr>
      <w:spacing w:after="120"/>
    </w:pPr>
    <w:rPr>
      <w:color w:val="auto"/>
      <w:sz w:val="20"/>
    </w:rPr>
  </w:style>
  <w:style w:type="paragraph" w:customStyle="1" w:styleId="CM16">
    <w:name w:val="CM16"/>
    <w:basedOn w:val="Default"/>
    <w:next w:val="Default"/>
    <w:pPr>
      <w:spacing w:after="185"/>
    </w:pPr>
    <w:rPr>
      <w:color w:val="auto"/>
      <w:sz w:val="20"/>
    </w:rPr>
  </w:style>
  <w:style w:type="paragraph" w:customStyle="1" w:styleId="CM2">
    <w:name w:val="CM2"/>
    <w:basedOn w:val="Default"/>
    <w:next w:val="Default"/>
    <w:pPr>
      <w:spacing w:line="300" w:lineRule="atLeast"/>
    </w:pPr>
    <w:rPr>
      <w:color w:val="auto"/>
      <w:sz w:val="20"/>
    </w:rPr>
  </w:style>
  <w:style w:type="paragraph" w:customStyle="1" w:styleId="CM17">
    <w:name w:val="CM17"/>
    <w:basedOn w:val="Default"/>
    <w:next w:val="Default"/>
    <w:pPr>
      <w:spacing w:after="330"/>
    </w:pPr>
    <w:rPr>
      <w:color w:val="auto"/>
      <w:sz w:val="20"/>
    </w:rPr>
  </w:style>
  <w:style w:type="paragraph" w:customStyle="1" w:styleId="CM3">
    <w:name w:val="CM3"/>
    <w:basedOn w:val="Default"/>
    <w:next w:val="Default"/>
    <w:pPr>
      <w:spacing w:line="300" w:lineRule="atLeast"/>
    </w:pPr>
    <w:rPr>
      <w:color w:val="auto"/>
      <w:sz w:val="20"/>
    </w:rPr>
  </w:style>
  <w:style w:type="paragraph" w:customStyle="1" w:styleId="CM18">
    <w:name w:val="CM18"/>
    <w:basedOn w:val="Default"/>
    <w:next w:val="Default"/>
    <w:pPr>
      <w:spacing w:after="385"/>
    </w:pPr>
    <w:rPr>
      <w:color w:val="auto"/>
      <w:sz w:val="20"/>
    </w:rPr>
  </w:style>
  <w:style w:type="paragraph" w:customStyle="1" w:styleId="CM5">
    <w:name w:val="CM5"/>
    <w:basedOn w:val="Default"/>
    <w:next w:val="Default"/>
    <w:pPr>
      <w:spacing w:line="300" w:lineRule="atLeast"/>
    </w:pPr>
    <w:rPr>
      <w:color w:val="auto"/>
      <w:sz w:val="20"/>
    </w:rPr>
  </w:style>
  <w:style w:type="paragraph" w:customStyle="1" w:styleId="CM4">
    <w:name w:val="CM4"/>
    <w:basedOn w:val="Default"/>
    <w:next w:val="Default"/>
    <w:pPr>
      <w:spacing w:line="300" w:lineRule="atLeast"/>
    </w:pPr>
    <w:rPr>
      <w:color w:val="auto"/>
      <w:sz w:val="20"/>
    </w:rPr>
  </w:style>
  <w:style w:type="paragraph" w:customStyle="1" w:styleId="CM6">
    <w:name w:val="CM6"/>
    <w:basedOn w:val="Default"/>
    <w:next w:val="Default"/>
    <w:rPr>
      <w:color w:val="auto"/>
      <w:sz w:val="20"/>
    </w:rPr>
  </w:style>
  <w:style w:type="paragraph" w:customStyle="1" w:styleId="CM19">
    <w:name w:val="CM19"/>
    <w:basedOn w:val="Default"/>
    <w:next w:val="Default"/>
    <w:pPr>
      <w:spacing w:after="255"/>
    </w:pPr>
    <w:rPr>
      <w:color w:val="auto"/>
      <w:sz w:val="20"/>
    </w:rPr>
  </w:style>
  <w:style w:type="paragraph" w:customStyle="1" w:styleId="CM7">
    <w:name w:val="CM7"/>
    <w:basedOn w:val="Default"/>
    <w:next w:val="Default"/>
    <w:pPr>
      <w:spacing w:line="240" w:lineRule="atLeast"/>
    </w:pPr>
    <w:rPr>
      <w:color w:val="auto"/>
      <w:sz w:val="20"/>
    </w:rPr>
  </w:style>
  <w:style w:type="paragraph" w:customStyle="1" w:styleId="CM8">
    <w:name w:val="CM8"/>
    <w:basedOn w:val="Default"/>
    <w:next w:val="Default"/>
    <w:pPr>
      <w:spacing w:line="240" w:lineRule="atLeast"/>
    </w:pPr>
    <w:rPr>
      <w:color w:val="auto"/>
      <w:sz w:val="20"/>
    </w:rPr>
  </w:style>
  <w:style w:type="paragraph" w:customStyle="1" w:styleId="CM9">
    <w:name w:val="CM9"/>
    <w:basedOn w:val="Default"/>
    <w:next w:val="Default"/>
    <w:pPr>
      <w:spacing w:line="240" w:lineRule="atLeast"/>
    </w:pPr>
    <w:rPr>
      <w:color w:val="auto"/>
      <w:sz w:val="20"/>
    </w:rPr>
  </w:style>
  <w:style w:type="paragraph" w:customStyle="1" w:styleId="CM10">
    <w:name w:val="CM10"/>
    <w:basedOn w:val="Default"/>
    <w:next w:val="Default"/>
    <w:pPr>
      <w:spacing w:line="240" w:lineRule="atLeast"/>
    </w:pPr>
    <w:rPr>
      <w:color w:val="auto"/>
      <w:sz w:val="20"/>
    </w:rPr>
  </w:style>
  <w:style w:type="paragraph" w:customStyle="1" w:styleId="CM11">
    <w:name w:val="CM11"/>
    <w:basedOn w:val="Default"/>
    <w:next w:val="Default"/>
    <w:pPr>
      <w:spacing w:line="240" w:lineRule="atLeast"/>
    </w:pPr>
    <w:rPr>
      <w:color w:val="auto"/>
      <w:sz w:val="20"/>
    </w:rPr>
  </w:style>
  <w:style w:type="paragraph" w:customStyle="1" w:styleId="CM12">
    <w:name w:val="CM12"/>
    <w:basedOn w:val="Default"/>
    <w:next w:val="Default"/>
    <w:pPr>
      <w:spacing w:line="240" w:lineRule="atLeast"/>
    </w:pPr>
    <w:rPr>
      <w:color w:val="auto"/>
      <w:sz w:val="20"/>
    </w:rPr>
  </w:style>
  <w:style w:type="paragraph" w:customStyle="1" w:styleId="CM13">
    <w:name w:val="CM13"/>
    <w:basedOn w:val="Default"/>
    <w:next w:val="Default"/>
    <w:pPr>
      <w:spacing w:line="240" w:lineRule="atLeast"/>
    </w:pPr>
    <w:rPr>
      <w:color w:val="auto"/>
      <w:sz w:val="20"/>
    </w:rPr>
  </w:style>
  <w:style w:type="character" w:styleId="a3">
    <w:name w:val="page number"/>
    <w:basedOn w:val="a0"/>
    <w:semiHidden/>
  </w:style>
  <w:style w:type="paragraph" w:styleId="a4">
    <w:name w:val="footer"/>
    <w:basedOn w:val="a"/>
    <w:semiHidden/>
    <w:pPr>
      <w:tabs>
        <w:tab w:val="center" w:pos="4153"/>
        <w:tab w:val="right" w:pos="8306"/>
      </w:tabs>
      <w:snapToGrid w:val="0"/>
    </w:pPr>
    <w:rPr>
      <w:sz w:val="20"/>
      <w:szCs w:val="20"/>
    </w:rPr>
  </w:style>
  <w:style w:type="paragraph" w:styleId="a5">
    <w:name w:val="Body Text"/>
    <w:basedOn w:val="a"/>
    <w:semiHidden/>
    <w:pPr>
      <w:adjustRightInd w:val="0"/>
      <w:snapToGrid w:val="0"/>
      <w:jc w:val="both"/>
    </w:pPr>
    <w:rPr>
      <w:rFonts w:eastAsia="MPFLD D+ Adv P 641 C"/>
      <w:color w:val="221E1F"/>
    </w:rPr>
  </w:style>
  <w:style w:type="paragraph" w:styleId="a6">
    <w:name w:val="header"/>
    <w:basedOn w:val="a"/>
    <w:semiHidden/>
    <w:pPr>
      <w:tabs>
        <w:tab w:val="center" w:pos="4153"/>
        <w:tab w:val="right" w:pos="8306"/>
      </w:tabs>
      <w:snapToGrid w:val="0"/>
    </w:pPr>
    <w:rPr>
      <w:sz w:val="20"/>
      <w:szCs w:val="20"/>
    </w:rPr>
  </w:style>
  <w:style w:type="paragraph" w:styleId="a7">
    <w:name w:val="Normal Indent"/>
    <w:basedOn w:val="a"/>
    <w:semiHidden/>
    <w:pPr>
      <w:ind w:left="480"/>
    </w:pPr>
    <w:rPr>
      <w:szCs w:val="20"/>
    </w:rPr>
  </w:style>
  <w:style w:type="character" w:styleId="a8">
    <w:name w:val="Strong"/>
    <w:basedOn w:val="a0"/>
    <w:qFormat/>
    <w:rPr>
      <w:b/>
      <w:bCs/>
    </w:rPr>
  </w:style>
  <w:style w:type="paragraph" w:styleId="a9">
    <w:name w:val="Body Text Indent"/>
    <w:basedOn w:val="a"/>
    <w:semiHidden/>
    <w:pPr>
      <w:tabs>
        <w:tab w:val="left" w:pos="3960"/>
        <w:tab w:val="left" w:pos="4500"/>
      </w:tabs>
      <w:adjustRightInd w:val="0"/>
      <w:snapToGrid w:val="0"/>
      <w:ind w:left="4500" w:hanging="4500"/>
      <w:jc w:val="both"/>
    </w:pPr>
  </w:style>
  <w:style w:type="paragraph" w:styleId="20">
    <w:name w:val="Body Text 2"/>
    <w:basedOn w:val="a"/>
    <w:semiHidden/>
    <w:pPr>
      <w:adjustRightInd w:val="0"/>
      <w:snapToGrid w:val="0"/>
      <w:jc w:val="both"/>
    </w:pPr>
  </w:style>
  <w:style w:type="paragraph" w:styleId="aa">
    <w:name w:val="List Paragraph"/>
    <w:basedOn w:val="a"/>
    <w:uiPriority w:val="34"/>
    <w:qFormat/>
    <w:rsid w:val="002D2000"/>
    <w:pPr>
      <w:ind w:leftChars="200" w:left="480"/>
    </w:pPr>
  </w:style>
  <w:style w:type="paragraph" w:styleId="ab">
    <w:name w:val="Revision"/>
    <w:hidden/>
    <w:uiPriority w:val="99"/>
    <w:semiHidden/>
    <w:rsid w:val="003943F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6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rasia.com/listco/hk/lkm" TargetMode="External"/><Relationship Id="rId4" Type="http://schemas.openxmlformats.org/officeDocument/2006/relationships/settings" Target="settings.xml"/><Relationship Id="rId9" Type="http://schemas.openxmlformats.org/officeDocument/2006/relationships/hyperlink" Target="http://www.irasia.com/listco/hk/lk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A5D76-E02D-431C-AE96-5A57BA8D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588</Words>
  <Characters>3355</Characters>
  <Application>Microsoft Office Word</Application>
  <DocSecurity>0</DocSecurity>
  <Lines>27</Lines>
  <Paragraphs>7</Paragraphs>
  <ScaleCrop>false</ScaleCrop>
  <Company>lkm</Company>
  <LinksUpToDate>false</LinksUpToDate>
  <CharactersWithSpaces>3936</CharactersWithSpaces>
  <SharedDoc>false</SharedDoc>
  <HLinks>
    <vt:vector size="12" baseType="variant">
      <vt:variant>
        <vt:i4>7995498</vt:i4>
      </vt:variant>
      <vt:variant>
        <vt:i4>2</vt:i4>
      </vt:variant>
      <vt:variant>
        <vt:i4>0</vt:i4>
      </vt:variant>
      <vt:variant>
        <vt:i4>5</vt:i4>
      </vt:variant>
      <vt:variant>
        <vt:lpwstr>http://www.irasia.com/listco/hk/lkm</vt:lpwstr>
      </vt:variant>
      <vt:variant>
        <vt:lpwstr/>
      </vt:variant>
      <vt:variant>
        <vt:i4>7995498</vt:i4>
      </vt:variant>
      <vt:variant>
        <vt:i4>0</vt:i4>
      </vt:variant>
      <vt:variant>
        <vt:i4>0</vt:i4>
      </vt:variant>
      <vt:variant>
        <vt:i4>5</vt:i4>
      </vt:variant>
      <vt:variant>
        <vt:lpwstr>http://www.irasia.com/listco/hk/lkm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Exchanges and Clearing Limited and The Stock Exchange of Hong Kong Limited take no responsibility for the contents o</dc:title>
  <dc:subject/>
  <dc:creator>kenis</dc:creator>
  <cp:keywords/>
  <dc:description/>
  <cp:lastModifiedBy>catherine tang</cp:lastModifiedBy>
  <cp:revision>8</cp:revision>
  <cp:lastPrinted>2025-12-29T09:36:00Z</cp:lastPrinted>
  <dcterms:created xsi:type="dcterms:W3CDTF">2026-06-25T01:56:00Z</dcterms:created>
  <dcterms:modified xsi:type="dcterms:W3CDTF">2026-07-02T07:10:00Z</dcterms:modified>
</cp:coreProperties>
</file>